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3133" w:rsidRPr="00183A9D" w:rsidRDefault="00183A9D">
      <w:pPr>
        <w:pStyle w:val="Heading1"/>
        <w:spacing w:before="0" w:line="240" w:lineRule="auto"/>
        <w:ind w:left="20"/>
        <w:contextualSpacing w:val="0"/>
        <w:jc w:val="right"/>
        <w:rPr>
          <w:rFonts w:ascii="Arial" w:hAnsi="Arial" w:cs="Arial"/>
        </w:rPr>
      </w:pPr>
      <w:r w:rsidRPr="00183A9D">
        <w:rPr>
          <w:rFonts w:ascii="Arial" w:eastAsia="Proxima Nova" w:hAnsi="Arial" w:cs="Arial"/>
          <w:b/>
          <w:color w:val="18304B"/>
          <w:sz w:val="28"/>
          <w:szCs w:val="28"/>
        </w:rPr>
        <w:t>For immediate release</w:t>
      </w:r>
    </w:p>
    <w:p w:rsidR="006F3133" w:rsidRPr="00183A9D" w:rsidRDefault="00183A9D">
      <w:pPr>
        <w:pStyle w:val="normal0"/>
        <w:spacing w:line="240" w:lineRule="auto"/>
        <w:contextualSpacing w:val="0"/>
        <w:jc w:val="right"/>
      </w:pPr>
      <w:r w:rsidRPr="00183A9D">
        <w:rPr>
          <w:rFonts w:eastAsia="Proxima Nova"/>
          <w:color w:val="18304B"/>
          <w:sz w:val="24"/>
          <w:szCs w:val="24"/>
        </w:rPr>
        <w:t>October 19, 2015</w:t>
      </w:r>
    </w:p>
    <w:p w:rsidR="00183A9D" w:rsidRDefault="00183A9D">
      <w:pPr>
        <w:pStyle w:val="normal0"/>
        <w:ind w:left="20"/>
        <w:contextualSpacing w:val="0"/>
        <w:rPr>
          <w:rFonts w:eastAsia="Proxima Nova"/>
          <w:b/>
          <w:color w:val="1591FE"/>
          <w:sz w:val="48"/>
          <w:szCs w:val="48"/>
        </w:rPr>
      </w:pPr>
    </w:p>
    <w:p w:rsidR="006F3133" w:rsidRPr="00183A9D" w:rsidRDefault="00183A9D">
      <w:pPr>
        <w:pStyle w:val="normal0"/>
        <w:ind w:left="20"/>
        <w:contextualSpacing w:val="0"/>
      </w:pPr>
      <w:r w:rsidRPr="00183A9D">
        <w:rPr>
          <w:rFonts w:eastAsia="Proxima Nova"/>
          <w:b/>
          <w:color w:val="1591FE"/>
          <w:sz w:val="48"/>
          <w:szCs w:val="48"/>
        </w:rPr>
        <w:t>Consumer sentiment falls to GFC level</w:t>
      </w:r>
    </w:p>
    <w:p w:rsidR="006F3133" w:rsidRPr="00183A9D" w:rsidRDefault="00183A9D">
      <w:pPr>
        <w:pStyle w:val="normal0"/>
        <w:spacing w:line="240" w:lineRule="auto"/>
        <w:ind w:left="-30"/>
        <w:contextualSpacing w:val="0"/>
      </w:pPr>
      <w:r w:rsidRPr="00183A9D">
        <w:rPr>
          <w:noProof/>
          <w:lang w:val="en-US"/>
        </w:rPr>
        <w:drawing>
          <wp:inline distT="114300" distB="114300" distL="114300" distR="114300" wp14:anchorId="53C05F3B" wp14:editId="16123493">
            <wp:extent cx="142875" cy="123825"/>
            <wp:effectExtent l="0" t="0" r="0" b="0"/>
            <wp:docPr id="5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83A9D">
        <w:rPr>
          <w:rFonts w:eastAsia="Proxima Nova"/>
          <w:color w:val="18304B"/>
          <w:sz w:val="20"/>
          <w:szCs w:val="20"/>
        </w:rPr>
        <w:t xml:space="preserve"> Owner-occupied home loans grow</w:t>
      </w:r>
      <w:r w:rsidRPr="00183A9D">
        <w:rPr>
          <w:rFonts w:eastAsia="Proxima Nova"/>
          <w:color w:val="18304B"/>
          <w:sz w:val="20"/>
          <w:szCs w:val="20"/>
        </w:rPr>
        <w:t xml:space="preserve"> by a slower pace than household deposits</w:t>
      </w:r>
    </w:p>
    <w:p w:rsidR="006F3133" w:rsidRPr="00183A9D" w:rsidRDefault="00183A9D">
      <w:pPr>
        <w:pStyle w:val="normal0"/>
        <w:spacing w:line="240" w:lineRule="auto"/>
        <w:ind w:left="-30"/>
        <w:contextualSpacing w:val="0"/>
      </w:pPr>
      <w:r w:rsidRPr="00183A9D">
        <w:rPr>
          <w:noProof/>
          <w:lang w:val="en-US"/>
        </w:rPr>
        <w:drawing>
          <wp:inline distT="114300" distB="114300" distL="114300" distR="114300" wp14:anchorId="5377B295" wp14:editId="320AED66">
            <wp:extent cx="142875" cy="123825"/>
            <wp:effectExtent l="0" t="0" r="0" b="0"/>
            <wp:docPr id="18" name="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83A9D">
        <w:rPr>
          <w:rFonts w:eastAsia="Proxima Nova"/>
          <w:color w:val="18304B"/>
          <w:sz w:val="20"/>
          <w:szCs w:val="20"/>
        </w:rPr>
        <w:t xml:space="preserve"> Funds borrowed for home loans and saved in bank deposits at record highs</w:t>
      </w:r>
    </w:p>
    <w:p w:rsidR="006F3133" w:rsidRPr="00183A9D" w:rsidRDefault="00183A9D">
      <w:pPr>
        <w:pStyle w:val="normal0"/>
        <w:spacing w:line="240" w:lineRule="auto"/>
        <w:ind w:left="-30"/>
        <w:contextualSpacing w:val="0"/>
      </w:pPr>
      <w:r w:rsidRPr="00183A9D">
        <w:rPr>
          <w:noProof/>
          <w:lang w:val="en-US"/>
        </w:rPr>
        <w:drawing>
          <wp:inline distT="114300" distB="114300" distL="114300" distR="114300" wp14:anchorId="684231C7" wp14:editId="4E7C8352">
            <wp:extent cx="142875" cy="123825"/>
            <wp:effectExtent l="0" t="0" r="0" b="0"/>
            <wp:docPr id="2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83A9D">
        <w:rPr>
          <w:rFonts w:eastAsia="Proxima Nova"/>
          <w:color w:val="18304B"/>
          <w:sz w:val="20"/>
          <w:szCs w:val="20"/>
        </w:rPr>
        <w:t xml:space="preserve"> Are consumers preparing for the worst?</w:t>
      </w:r>
    </w:p>
    <w:tbl>
      <w:tblPr>
        <w:tblStyle w:val="a"/>
        <w:tblW w:w="9495" w:type="dxa"/>
        <w:tblInd w:w="-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720"/>
        <w:gridCol w:w="900"/>
        <w:gridCol w:w="915"/>
        <w:gridCol w:w="885"/>
        <w:gridCol w:w="1050"/>
        <w:gridCol w:w="795"/>
        <w:gridCol w:w="960"/>
        <w:gridCol w:w="1005"/>
        <w:gridCol w:w="1365"/>
      </w:tblGrid>
      <w:tr w:rsidR="006F3133">
        <w:trPr>
          <w:trHeight w:val="3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133" w:rsidRDefault="006F3133">
            <w:pPr>
              <w:pStyle w:val="normal0"/>
              <w:spacing w:line="240" w:lineRule="auto"/>
              <w:ind w:left="-15"/>
              <w:contextualSpacing w:val="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133" w:rsidRDefault="006F3133">
            <w:pPr>
              <w:pStyle w:val="normal0"/>
              <w:spacing w:line="240" w:lineRule="auto"/>
              <w:ind w:left="-15"/>
              <w:contextualSpacing w:val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133" w:rsidRDefault="006F3133">
            <w:pPr>
              <w:pStyle w:val="normal0"/>
              <w:spacing w:line="240" w:lineRule="auto"/>
              <w:ind w:left="-15"/>
              <w:contextualSpacing w:val="0"/>
              <w:jc w:val="center"/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133" w:rsidRDefault="006F3133">
            <w:pPr>
              <w:pStyle w:val="normal0"/>
              <w:spacing w:line="240" w:lineRule="auto"/>
              <w:ind w:left="-15"/>
              <w:contextualSpacing w:val="0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133" w:rsidRDefault="006F3133">
            <w:pPr>
              <w:pStyle w:val="normal0"/>
              <w:spacing w:line="240" w:lineRule="auto"/>
              <w:ind w:left="-15"/>
              <w:contextualSpacing w:val="0"/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133" w:rsidRDefault="006F3133">
            <w:pPr>
              <w:pStyle w:val="normal0"/>
              <w:spacing w:line="240" w:lineRule="auto"/>
              <w:ind w:left="-15"/>
              <w:contextualSpacing w:val="0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133" w:rsidRDefault="006F3133">
            <w:pPr>
              <w:pStyle w:val="normal0"/>
              <w:spacing w:line="240" w:lineRule="auto"/>
              <w:ind w:left="-15"/>
              <w:contextualSpacing w:val="0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133" w:rsidRDefault="006F3133">
            <w:pPr>
              <w:pStyle w:val="normal0"/>
              <w:spacing w:line="240" w:lineRule="auto"/>
              <w:ind w:left="-15"/>
              <w:contextualSpacing w:val="0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133" w:rsidRDefault="006F3133">
            <w:pPr>
              <w:pStyle w:val="normal0"/>
              <w:spacing w:line="240" w:lineRule="auto"/>
              <w:ind w:left="-15"/>
              <w:contextualSpacing w:val="0"/>
              <w:jc w:val="center"/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133" w:rsidRDefault="006F3133">
            <w:pPr>
              <w:pStyle w:val="normal0"/>
              <w:spacing w:line="240" w:lineRule="auto"/>
              <w:ind w:left="-15"/>
              <w:contextualSpacing w:val="0"/>
            </w:pPr>
          </w:p>
        </w:tc>
      </w:tr>
    </w:tbl>
    <w:p w:rsidR="006F3133" w:rsidRPr="00183A9D" w:rsidRDefault="00183A9D">
      <w:pPr>
        <w:pStyle w:val="normal0"/>
        <w:contextualSpacing w:val="0"/>
      </w:pPr>
      <w:r w:rsidRPr="00183A9D">
        <w:rPr>
          <w:rFonts w:eastAsia="Proxima Nova"/>
          <w:b/>
        </w:rPr>
        <w:t>October 19, 2015, Sydney, Australia</w:t>
      </w:r>
      <w:r w:rsidRPr="00183A9D">
        <w:rPr>
          <w:rFonts w:eastAsia="Proxima Nova"/>
        </w:rPr>
        <w:t xml:space="preserve"> – New research by one of Australia’</w:t>
      </w:r>
      <w:r w:rsidRPr="00183A9D">
        <w:rPr>
          <w:rFonts w:eastAsia="Proxima Nova"/>
          <w:highlight w:val="white"/>
        </w:rPr>
        <w:t xml:space="preserve">s biggest comparison websites </w:t>
      </w:r>
      <w:hyperlink r:id="rId8">
        <w:r w:rsidRPr="00183A9D">
          <w:rPr>
            <w:rFonts w:eastAsia="Proxima Nova"/>
            <w:color w:val="1155CC"/>
            <w:highlight w:val="white"/>
            <w:u w:val="single"/>
          </w:rPr>
          <w:t>finder.com.au</w:t>
        </w:r>
      </w:hyperlink>
      <w:r w:rsidRPr="00183A9D">
        <w:rPr>
          <w:rFonts w:eastAsia="Proxima Nova"/>
          <w:highlight w:val="white"/>
          <w:vertAlign w:val="superscript"/>
        </w:rPr>
        <w:footnoteReference w:id="1"/>
      </w:r>
      <w:r w:rsidRPr="00183A9D">
        <w:rPr>
          <w:rFonts w:eastAsia="Proxima Nova"/>
          <w:highlight w:val="white"/>
        </w:rPr>
        <w:t xml:space="preserve"> has found that Australians could be preparing for the worst, with </w:t>
      </w:r>
      <w:r w:rsidRPr="00183A9D">
        <w:rPr>
          <w:rFonts w:eastAsia="Proxima Nova"/>
        </w:rPr>
        <w:t>preference for people borrowing money for a home against saving money is at its lowest level since the Global Financial Crisis (GFC).</w:t>
      </w:r>
    </w:p>
    <w:p w:rsidR="006F3133" w:rsidRPr="00183A9D" w:rsidRDefault="006F3133">
      <w:pPr>
        <w:pStyle w:val="normal0"/>
        <w:contextualSpacing w:val="0"/>
      </w:pPr>
    </w:p>
    <w:p w:rsidR="006F3133" w:rsidRPr="00183A9D" w:rsidRDefault="00183A9D">
      <w:pPr>
        <w:pStyle w:val="normal0"/>
        <w:contextualSpacing w:val="0"/>
      </w:pPr>
      <w:r w:rsidRPr="00183A9D">
        <w:rPr>
          <w:rFonts w:eastAsia="Proxima Nova"/>
          <w:highlight w:val="white"/>
        </w:rPr>
        <w:t xml:space="preserve">According to the </w:t>
      </w:r>
      <w:hyperlink r:id="rId9">
        <w:r w:rsidRPr="00183A9D">
          <w:rPr>
            <w:rFonts w:eastAsia="Proxima Nova"/>
            <w:color w:val="1155CC"/>
            <w:highlight w:val="white"/>
            <w:u w:val="single"/>
          </w:rPr>
          <w:t>finder.com.au</w:t>
        </w:r>
      </w:hyperlink>
      <w:r w:rsidRPr="00183A9D">
        <w:rPr>
          <w:rFonts w:eastAsia="Proxima Nova"/>
          <w:highlight w:val="white"/>
        </w:rPr>
        <w:t xml:space="preserve"> research of the past decade of data from the Australian Prudential Regulation </w:t>
      </w:r>
      <w:proofErr w:type="spellStart"/>
      <w:r w:rsidRPr="00183A9D">
        <w:rPr>
          <w:rFonts w:eastAsia="Proxima Nova"/>
          <w:highlight w:val="white"/>
        </w:rPr>
        <w:t>Athority</w:t>
      </w:r>
      <w:proofErr w:type="spellEnd"/>
      <w:r w:rsidRPr="00183A9D">
        <w:rPr>
          <w:rFonts w:eastAsia="Proxima Nova"/>
          <w:highlight w:val="white"/>
        </w:rPr>
        <w:t xml:space="preserve"> (APRA), the amount of money borrowed from banks for owner-occupied home loans has grown at a slower pace than the am</w:t>
      </w:r>
      <w:r w:rsidRPr="00183A9D">
        <w:rPr>
          <w:rFonts w:eastAsia="Proxima Nova"/>
          <w:highlight w:val="white"/>
        </w:rPr>
        <w:t xml:space="preserve">ount of money in household bank deposits. </w:t>
      </w:r>
      <w:r w:rsidRPr="00183A9D">
        <w:rPr>
          <w:rFonts w:eastAsia="Proxima Nova"/>
        </w:rPr>
        <w:t xml:space="preserve">In fact, owner-occupied home loan lending by banks has grown by 7.5 </w:t>
      </w:r>
      <w:proofErr w:type="spellStart"/>
      <w:r w:rsidRPr="00183A9D">
        <w:rPr>
          <w:rFonts w:eastAsia="Proxima Nova"/>
        </w:rPr>
        <w:t>percent</w:t>
      </w:r>
      <w:proofErr w:type="spellEnd"/>
      <w:r w:rsidRPr="00183A9D">
        <w:rPr>
          <w:rFonts w:eastAsia="Proxima Nova"/>
        </w:rPr>
        <w:t xml:space="preserve"> – significantly less than household deposits (10.4 </w:t>
      </w:r>
      <w:proofErr w:type="spellStart"/>
      <w:r w:rsidRPr="00183A9D">
        <w:rPr>
          <w:rFonts w:eastAsia="Proxima Nova"/>
        </w:rPr>
        <w:t>percent</w:t>
      </w:r>
      <w:proofErr w:type="spellEnd"/>
      <w:r w:rsidRPr="00183A9D">
        <w:rPr>
          <w:rFonts w:eastAsia="Proxima Nova"/>
        </w:rPr>
        <w:t>) in the past year.</w:t>
      </w:r>
    </w:p>
    <w:p w:rsidR="006F3133" w:rsidRPr="00183A9D" w:rsidRDefault="006F3133">
      <w:pPr>
        <w:pStyle w:val="normal0"/>
        <w:contextualSpacing w:val="0"/>
      </w:pPr>
    </w:p>
    <w:p w:rsidR="006F3133" w:rsidRPr="00183A9D" w:rsidRDefault="00183A9D">
      <w:pPr>
        <w:pStyle w:val="normal0"/>
        <w:contextualSpacing w:val="0"/>
      </w:pPr>
      <w:r w:rsidRPr="00183A9D">
        <w:rPr>
          <w:rFonts w:eastAsia="Proxima Nova"/>
          <w:highlight w:val="white"/>
        </w:rPr>
        <w:t xml:space="preserve">This is despite </w:t>
      </w:r>
      <w:r w:rsidRPr="00183A9D">
        <w:rPr>
          <w:rFonts w:eastAsia="Proxima Nova"/>
        </w:rPr>
        <w:t xml:space="preserve">total owner-occupied home loans across all </w:t>
      </w:r>
      <w:r w:rsidRPr="00183A9D">
        <w:rPr>
          <w:rFonts w:eastAsia="Proxima Nova"/>
        </w:rPr>
        <w:t>banks is sitting at an all-time high of $843 billion and total deposits from households is also at a record high of $737 billion.</w:t>
      </w:r>
    </w:p>
    <w:p w:rsidR="006F3133" w:rsidRDefault="006F3133">
      <w:pPr>
        <w:pStyle w:val="normal0"/>
        <w:contextualSpacing w:val="0"/>
      </w:pPr>
    </w:p>
    <w:p w:rsidR="006F3133" w:rsidRDefault="00183A9D">
      <w:pPr>
        <w:pStyle w:val="normal0"/>
        <w:widowControl/>
        <w:contextualSpacing w:val="0"/>
        <w:jc w:val="center"/>
      </w:pPr>
      <w:r>
        <w:rPr>
          <w:noProof/>
          <w:lang w:val="en-US"/>
        </w:rPr>
        <w:lastRenderedPageBreak/>
        <w:drawing>
          <wp:inline distT="114300" distB="114300" distL="114300" distR="114300">
            <wp:extent cx="4646449" cy="3042920"/>
            <wp:effectExtent l="0" t="0" r="1905" b="5080"/>
            <wp:docPr id="10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6974" cy="30432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F3133" w:rsidRDefault="006F3133">
      <w:pPr>
        <w:pStyle w:val="normal0"/>
        <w:contextualSpacing w:val="0"/>
      </w:pPr>
    </w:p>
    <w:p w:rsidR="006F3133" w:rsidRPr="00183A9D" w:rsidRDefault="00183A9D">
      <w:pPr>
        <w:pStyle w:val="normal0"/>
        <w:contextualSpacing w:val="0"/>
      </w:pPr>
      <w:r w:rsidRPr="00183A9D">
        <w:rPr>
          <w:rFonts w:eastAsia="Proxima Nova"/>
        </w:rPr>
        <w:t xml:space="preserve">Graham Cooke, Insights Analyst at </w:t>
      </w:r>
      <w:hyperlink r:id="rId11">
        <w:r w:rsidRPr="00183A9D">
          <w:rPr>
            <w:rFonts w:eastAsia="Proxima Nova"/>
            <w:color w:val="1155CC"/>
            <w:u w:val="single"/>
          </w:rPr>
          <w:t>finder.com.au</w:t>
        </w:r>
      </w:hyperlink>
      <w:r w:rsidRPr="00183A9D">
        <w:rPr>
          <w:rFonts w:eastAsia="Proxima Nova"/>
        </w:rPr>
        <w:t>, says the trend could indicate co</w:t>
      </w:r>
      <w:r w:rsidRPr="00183A9D">
        <w:rPr>
          <w:rFonts w:eastAsia="Proxima Nova"/>
        </w:rPr>
        <w:t>nsumers are preparing for tougher financial conditions.</w:t>
      </w:r>
    </w:p>
    <w:p w:rsidR="006F3133" w:rsidRPr="00183A9D" w:rsidRDefault="006F3133">
      <w:pPr>
        <w:pStyle w:val="normal0"/>
        <w:contextualSpacing w:val="0"/>
      </w:pPr>
    </w:p>
    <w:p w:rsidR="006F3133" w:rsidRPr="00183A9D" w:rsidRDefault="00183A9D">
      <w:pPr>
        <w:pStyle w:val="normal0"/>
        <w:contextualSpacing w:val="0"/>
      </w:pPr>
      <w:r w:rsidRPr="00183A9D">
        <w:rPr>
          <w:rFonts w:eastAsia="Proxima Nova"/>
        </w:rPr>
        <w:t>“Before the GFC, we saw the gap between household bank deposits and owner-occupier home loans widening, which saw a peak of $128 billion more home loans funded than what was being saved by households</w:t>
      </w:r>
      <w:r w:rsidRPr="00183A9D">
        <w:rPr>
          <w:rFonts w:eastAsia="Proxima Nova"/>
        </w:rPr>
        <w:t xml:space="preserve"> in bank deposits in early 2008. When the GFC hit by the end of 2008, this gap shrunk to $95 billion.</w:t>
      </w:r>
    </w:p>
    <w:p w:rsidR="006F3133" w:rsidRPr="00183A9D" w:rsidRDefault="006F3133">
      <w:pPr>
        <w:pStyle w:val="normal0"/>
        <w:contextualSpacing w:val="0"/>
      </w:pPr>
    </w:p>
    <w:p w:rsidR="006F3133" w:rsidRPr="00183A9D" w:rsidRDefault="00183A9D">
      <w:pPr>
        <w:pStyle w:val="normal0"/>
        <w:contextualSpacing w:val="0"/>
      </w:pPr>
      <w:r w:rsidRPr="00183A9D">
        <w:rPr>
          <w:rFonts w:eastAsia="Proxima Nova"/>
        </w:rPr>
        <w:t xml:space="preserve">“From that low point the gap steadily increased again and hit a high of $193 billion in mid-2012. </w:t>
      </w:r>
    </w:p>
    <w:p w:rsidR="006F3133" w:rsidRPr="00183A9D" w:rsidRDefault="006F3133">
      <w:pPr>
        <w:pStyle w:val="normal0"/>
        <w:contextualSpacing w:val="0"/>
      </w:pPr>
    </w:p>
    <w:p w:rsidR="006F3133" w:rsidRPr="00183A9D" w:rsidRDefault="00183A9D">
      <w:pPr>
        <w:pStyle w:val="normal0"/>
        <w:contextualSpacing w:val="0"/>
      </w:pPr>
      <w:r w:rsidRPr="00183A9D">
        <w:rPr>
          <w:rFonts w:eastAsia="Proxima Nova"/>
        </w:rPr>
        <w:t>“While total household deposits has been more consist</w:t>
      </w:r>
      <w:r w:rsidRPr="00183A9D">
        <w:rPr>
          <w:rFonts w:eastAsia="Proxima Nova"/>
        </w:rPr>
        <w:t>ent in growth, we’ve seen the amount of money banks are lending for owner-occupied home loans take a dive and the gap is currently at $106 billion – close to where it was at the peak of the global financial crisis.</w:t>
      </w:r>
    </w:p>
    <w:p w:rsidR="006F3133" w:rsidRPr="00183A9D" w:rsidRDefault="006F3133">
      <w:pPr>
        <w:pStyle w:val="normal0"/>
        <w:contextualSpacing w:val="0"/>
      </w:pPr>
    </w:p>
    <w:p w:rsidR="006F3133" w:rsidRPr="00183A9D" w:rsidRDefault="00183A9D">
      <w:pPr>
        <w:pStyle w:val="normal0"/>
        <w:widowControl/>
        <w:contextualSpacing w:val="0"/>
      </w:pPr>
      <w:r w:rsidRPr="00183A9D">
        <w:rPr>
          <w:rFonts w:eastAsia="Proxima Nova"/>
        </w:rPr>
        <w:t>“This narrowing indicates an increasing preference for holding money in savings and reducing outstanding mortgages over borrowing for owner-occupied property.</w:t>
      </w:r>
    </w:p>
    <w:p w:rsidR="006F3133" w:rsidRDefault="006F3133">
      <w:pPr>
        <w:pStyle w:val="normal0"/>
        <w:contextualSpacing w:val="0"/>
      </w:pPr>
      <w:bookmarkStart w:id="0" w:name="_GoBack"/>
      <w:bookmarkEnd w:id="0"/>
    </w:p>
    <w:p w:rsidR="006F3133" w:rsidRDefault="00183A9D">
      <w:pPr>
        <w:pStyle w:val="normal0"/>
        <w:widowControl/>
        <w:contextualSpacing w:val="0"/>
        <w:jc w:val="center"/>
      </w:pPr>
      <w:r>
        <w:rPr>
          <w:noProof/>
          <w:lang w:val="en-US"/>
        </w:rPr>
        <w:lastRenderedPageBreak/>
        <w:drawing>
          <wp:inline distT="114300" distB="114300" distL="114300" distR="114300">
            <wp:extent cx="4637276" cy="2937510"/>
            <wp:effectExtent l="0" t="0" r="11430" b="8890"/>
            <wp:docPr id="13" name="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8780" cy="2938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F3133" w:rsidRDefault="006F3133">
      <w:pPr>
        <w:pStyle w:val="normal0"/>
        <w:widowControl/>
        <w:contextualSpacing w:val="0"/>
      </w:pPr>
    </w:p>
    <w:p w:rsidR="006F3133" w:rsidRDefault="006F3133">
      <w:pPr>
        <w:pStyle w:val="normal0"/>
        <w:contextualSpacing w:val="0"/>
      </w:pPr>
    </w:p>
    <w:p w:rsidR="006F3133" w:rsidRPr="00183A9D" w:rsidRDefault="00183A9D">
      <w:pPr>
        <w:pStyle w:val="normal0"/>
        <w:widowControl/>
        <w:contextualSpacing w:val="0"/>
      </w:pPr>
      <w:r w:rsidRPr="00183A9D">
        <w:rPr>
          <w:rFonts w:eastAsia="Proxima Nova"/>
        </w:rPr>
        <w:t>“This pattern of a slowdown in borrowing for a home and rise in savings could also be an ear</w:t>
      </w:r>
      <w:r w:rsidRPr="00183A9D">
        <w:rPr>
          <w:rFonts w:eastAsia="Proxima Nova"/>
        </w:rPr>
        <w:t>ly indicator of a cooling property market.</w:t>
      </w:r>
    </w:p>
    <w:p w:rsidR="006F3133" w:rsidRPr="00183A9D" w:rsidRDefault="006F3133">
      <w:pPr>
        <w:pStyle w:val="normal0"/>
        <w:widowControl/>
        <w:contextualSpacing w:val="0"/>
      </w:pPr>
    </w:p>
    <w:p w:rsidR="006F3133" w:rsidRPr="00183A9D" w:rsidRDefault="00183A9D">
      <w:pPr>
        <w:pStyle w:val="normal0"/>
        <w:widowControl/>
        <w:contextualSpacing w:val="0"/>
      </w:pPr>
      <w:r w:rsidRPr="00183A9D">
        <w:rPr>
          <w:rFonts w:eastAsia="Proxima Nova"/>
        </w:rPr>
        <w:t>“Australians are clearly concerned about their financial futures and property owners and prospective buyers should be cautious of over-capitalising in the current conditions. And with Westpac the latest to announ</w:t>
      </w:r>
      <w:r w:rsidRPr="00183A9D">
        <w:rPr>
          <w:rFonts w:eastAsia="Proxima Nova"/>
        </w:rPr>
        <w:t>ce an increase in variable home loan rates, now is the time for existing borrowers to examine their current home loan and consider refinancing.”</w:t>
      </w:r>
    </w:p>
    <w:p w:rsidR="006F3133" w:rsidRDefault="006F3133">
      <w:pPr>
        <w:pStyle w:val="normal0"/>
        <w:contextualSpacing w:val="0"/>
      </w:pPr>
    </w:p>
    <w:p w:rsidR="00183A9D" w:rsidRDefault="00183A9D">
      <w:pPr>
        <w:pStyle w:val="normal0"/>
        <w:contextualSpacing w:val="0"/>
      </w:pPr>
    </w:p>
    <w:p w:rsidR="00183A9D" w:rsidRDefault="00183A9D">
      <w:pPr>
        <w:pStyle w:val="normal0"/>
        <w:contextualSpacing w:val="0"/>
      </w:pPr>
    </w:p>
    <w:p w:rsidR="006F3133" w:rsidRDefault="00183A9D">
      <w:pPr>
        <w:pStyle w:val="normal0"/>
        <w:contextualSpacing w:val="0"/>
      </w:pPr>
      <w:r>
        <w:rPr>
          <w:rFonts w:ascii="Proxima Nova" w:eastAsia="Proxima Nova" w:hAnsi="Proxima Nova" w:cs="Proxima Nova"/>
          <w:b/>
          <w:color w:val="777777"/>
          <w:sz w:val="28"/>
          <w:szCs w:val="28"/>
        </w:rPr>
        <w:t>###</w:t>
      </w:r>
    </w:p>
    <w:p w:rsidR="006F3133" w:rsidRDefault="006F3133">
      <w:pPr>
        <w:pStyle w:val="normal0"/>
        <w:contextualSpacing w:val="0"/>
      </w:pPr>
    </w:p>
    <w:p w:rsidR="006F3133" w:rsidRDefault="00183A9D">
      <w:pPr>
        <w:pStyle w:val="normal0"/>
        <w:contextualSpacing w:val="0"/>
      </w:pPr>
      <w:r>
        <w:rPr>
          <w:color w:val="777777"/>
        </w:rPr>
        <w:t xml:space="preserve">We now have </w:t>
      </w:r>
      <w:proofErr w:type="gramStart"/>
      <w:r>
        <w:rPr>
          <w:color w:val="777777"/>
        </w:rPr>
        <w:t>a news</w:t>
      </w:r>
      <w:proofErr w:type="gramEnd"/>
      <w:r>
        <w:rPr>
          <w:color w:val="777777"/>
        </w:rPr>
        <w:t xml:space="preserve"> feed on Twitter! Follow us for the latest updates or drop us a line to say hi: @</w:t>
      </w:r>
      <w:proofErr w:type="spellStart"/>
      <w:r>
        <w:rPr>
          <w:color w:val="777777"/>
        </w:rPr>
        <w:t>finder</w:t>
      </w:r>
      <w:r>
        <w:rPr>
          <w:color w:val="777777"/>
        </w:rPr>
        <w:t>_news</w:t>
      </w:r>
      <w:proofErr w:type="spellEnd"/>
      <w:r>
        <w:rPr>
          <w:color w:val="777777"/>
        </w:rPr>
        <w:t>.</w:t>
      </w:r>
    </w:p>
    <w:p w:rsidR="006F3133" w:rsidRDefault="006F3133">
      <w:pPr>
        <w:pStyle w:val="normal0"/>
        <w:contextualSpacing w:val="0"/>
      </w:pPr>
    </w:p>
    <w:p w:rsidR="006F3133" w:rsidRDefault="00183A9D">
      <w:pPr>
        <w:pStyle w:val="normal0"/>
        <w:contextualSpacing w:val="0"/>
      </w:pPr>
      <w:r>
        <w:rPr>
          <w:rFonts w:ascii="Proxima Nova" w:eastAsia="Proxima Nova" w:hAnsi="Proxima Nova" w:cs="Proxima Nova"/>
          <w:b/>
          <w:color w:val="777777"/>
          <w:sz w:val="28"/>
          <w:szCs w:val="28"/>
        </w:rPr>
        <w:t>For further information:</w:t>
      </w:r>
    </w:p>
    <w:tbl>
      <w:tblPr>
        <w:tblStyle w:val="a0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2805"/>
        <w:gridCol w:w="1650"/>
        <w:gridCol w:w="2910"/>
      </w:tblGrid>
      <w:tr w:rsidR="006F3133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133" w:rsidRDefault="00183A9D">
            <w:pPr>
              <w:pStyle w:val="normal0"/>
              <w:contextualSpacing w:val="0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785813" cy="874925"/>
                  <wp:effectExtent l="0" t="0" r="0" b="0"/>
                  <wp:docPr id="16" name="image3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813" cy="874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133" w:rsidRDefault="00183A9D">
            <w:pPr>
              <w:pStyle w:val="normal0"/>
              <w:contextualSpacing w:val="0"/>
            </w:pPr>
            <w:r>
              <w:rPr>
                <w:rFonts w:ascii="Proxima Nova" w:eastAsia="Proxima Nova" w:hAnsi="Proxima Nova" w:cs="Proxima Nova"/>
                <w:b/>
                <w:color w:val="777777"/>
                <w:sz w:val="20"/>
                <w:szCs w:val="20"/>
              </w:rPr>
              <w:t>Michelle Hutchison</w:t>
            </w:r>
          </w:p>
          <w:p w:rsidR="006F3133" w:rsidRDefault="00183A9D">
            <w:pPr>
              <w:pStyle w:val="normal0"/>
              <w:contextualSpacing w:val="0"/>
            </w:pPr>
            <w:r>
              <w:rPr>
                <w:rFonts w:ascii="Proxima Nova" w:eastAsia="Proxima Nova" w:hAnsi="Proxima Nova" w:cs="Proxima Nova"/>
                <w:color w:val="777777"/>
                <w:sz w:val="20"/>
                <w:szCs w:val="20"/>
              </w:rPr>
              <w:t>Head of PR &amp; Money Expert</w:t>
            </w:r>
          </w:p>
          <w:p w:rsidR="006F3133" w:rsidRDefault="00183A9D">
            <w:pPr>
              <w:pStyle w:val="normal0"/>
              <w:contextualSpacing w:val="0"/>
            </w:pPr>
            <w:r>
              <w:rPr>
                <w:rFonts w:ascii="Proxima Nova" w:eastAsia="Proxima Nova" w:hAnsi="Proxima Nova" w:cs="Proxima Nova"/>
                <w:color w:val="777777"/>
                <w:sz w:val="20"/>
                <w:szCs w:val="20"/>
              </w:rPr>
              <w:t>+61403 192 994</w:t>
            </w:r>
          </w:p>
          <w:p w:rsidR="006F3133" w:rsidRDefault="00183A9D">
            <w:pPr>
              <w:pStyle w:val="Heading4"/>
              <w:spacing w:before="0"/>
              <w:contextualSpacing w:val="0"/>
            </w:pPr>
            <w:bookmarkStart w:id="1" w:name="h.ylu2s8r5z1hh" w:colFirst="0" w:colLast="0"/>
            <w:bookmarkEnd w:id="1"/>
            <w:r>
              <w:rPr>
                <w:rFonts w:ascii="Proxima Nova" w:eastAsia="Proxima Nova" w:hAnsi="Proxima Nova" w:cs="Proxima Nova"/>
                <w:color w:val="777777"/>
                <w:sz w:val="20"/>
                <w:szCs w:val="20"/>
                <w:u w:val="none"/>
              </w:rPr>
              <w:t>+61 1300 FINDER (346 337)</w:t>
            </w:r>
          </w:p>
          <w:p w:rsidR="006F3133" w:rsidRDefault="00183A9D">
            <w:pPr>
              <w:pStyle w:val="normal0"/>
              <w:ind w:left="20"/>
              <w:contextualSpacing w:val="0"/>
            </w:pPr>
            <w:hyperlink r:id="rId14">
              <w:r>
                <w:rPr>
                  <w:rFonts w:ascii="Proxima Nova" w:eastAsia="Proxima Nova" w:hAnsi="Proxima Nova" w:cs="Proxima Nova"/>
                  <w:color w:val="777777"/>
                  <w:sz w:val="20"/>
                  <w:szCs w:val="20"/>
                  <w:u w:val="single"/>
                </w:rPr>
                <w:t>Michelle@finder.com.au</w:t>
              </w:r>
            </w:hyperlink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133" w:rsidRDefault="00183A9D">
            <w:pPr>
              <w:pStyle w:val="normal0"/>
              <w:contextualSpacing w:val="0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785813" cy="870007"/>
                  <wp:effectExtent l="0" t="0" r="0" b="0"/>
                  <wp:docPr id="6" name="image2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jpg"/>
                          <pic:cNvPicPr preferRelativeResize="0"/>
                        </pic:nvPicPr>
                        <pic:blipFill>
                          <a:blip r:embed="rId15"/>
                          <a:srcRect b="269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813" cy="8700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133" w:rsidRDefault="00183A9D">
            <w:pPr>
              <w:pStyle w:val="normal0"/>
              <w:contextualSpacing w:val="0"/>
            </w:pPr>
            <w:r>
              <w:rPr>
                <w:rFonts w:ascii="Proxima Nova" w:eastAsia="Proxima Nova" w:hAnsi="Proxima Nova" w:cs="Proxima Nova"/>
                <w:b/>
                <w:color w:val="777777"/>
                <w:sz w:val="20"/>
                <w:szCs w:val="20"/>
              </w:rPr>
              <w:t>Bessie Hassan</w:t>
            </w:r>
          </w:p>
          <w:p w:rsidR="006F3133" w:rsidRDefault="00183A9D">
            <w:pPr>
              <w:pStyle w:val="normal0"/>
              <w:contextualSpacing w:val="0"/>
            </w:pPr>
            <w:r>
              <w:rPr>
                <w:rFonts w:ascii="Proxima Nova" w:eastAsia="Proxima Nova" w:hAnsi="Proxima Nova" w:cs="Proxima Nova"/>
                <w:color w:val="777777"/>
                <w:sz w:val="20"/>
                <w:szCs w:val="20"/>
              </w:rPr>
              <w:t>PR Manager</w:t>
            </w:r>
          </w:p>
          <w:p w:rsidR="006F3133" w:rsidRDefault="00183A9D">
            <w:pPr>
              <w:pStyle w:val="normal0"/>
              <w:contextualSpacing w:val="0"/>
            </w:pPr>
            <w:r>
              <w:rPr>
                <w:rFonts w:ascii="Proxima Nova" w:eastAsia="Proxima Nova" w:hAnsi="Proxima Nova" w:cs="Proxima Nova"/>
                <w:color w:val="777777"/>
                <w:sz w:val="20"/>
                <w:szCs w:val="20"/>
              </w:rPr>
              <w:t>+61402 567 568</w:t>
            </w:r>
          </w:p>
          <w:p w:rsidR="006F3133" w:rsidRDefault="00183A9D">
            <w:pPr>
              <w:pStyle w:val="Heading4"/>
              <w:spacing w:before="0"/>
              <w:contextualSpacing w:val="0"/>
            </w:pPr>
            <w:bookmarkStart w:id="2" w:name="h.niaybzusip24" w:colFirst="0" w:colLast="0"/>
            <w:bookmarkEnd w:id="2"/>
            <w:r>
              <w:rPr>
                <w:rFonts w:ascii="Proxima Nova" w:eastAsia="Proxima Nova" w:hAnsi="Proxima Nova" w:cs="Proxima Nova"/>
                <w:color w:val="777777"/>
                <w:sz w:val="20"/>
                <w:szCs w:val="20"/>
                <w:u w:val="none"/>
              </w:rPr>
              <w:t>+61 1300 FINDER (346 337)</w:t>
            </w:r>
          </w:p>
          <w:p w:rsidR="006F3133" w:rsidRDefault="00183A9D">
            <w:pPr>
              <w:pStyle w:val="normal0"/>
              <w:ind w:left="20"/>
              <w:contextualSpacing w:val="0"/>
            </w:pPr>
            <w:hyperlink r:id="rId16">
              <w:r>
                <w:rPr>
                  <w:rFonts w:ascii="Proxima Nova" w:eastAsia="Proxima Nova" w:hAnsi="Proxima Nova" w:cs="Proxima Nova"/>
                  <w:color w:val="777777"/>
                  <w:sz w:val="20"/>
                  <w:szCs w:val="20"/>
                  <w:u w:val="single"/>
                </w:rPr>
                <w:t>Bessie@finder.com.</w:t>
              </w:r>
            </w:hyperlink>
            <w:hyperlink r:id="rId17">
              <w:proofErr w:type="gramStart"/>
              <w:r>
                <w:rPr>
                  <w:rFonts w:ascii="Proxima Nova" w:eastAsia="Proxima Nova" w:hAnsi="Proxima Nova" w:cs="Proxima Nova"/>
                  <w:color w:val="777777"/>
                  <w:sz w:val="20"/>
                  <w:szCs w:val="20"/>
                  <w:u w:val="single"/>
                </w:rPr>
                <w:t>au</w:t>
              </w:r>
              <w:proofErr w:type="gramEnd"/>
            </w:hyperlink>
          </w:p>
        </w:tc>
      </w:tr>
    </w:tbl>
    <w:p w:rsidR="006F3133" w:rsidRDefault="006F3133">
      <w:pPr>
        <w:pStyle w:val="normal0"/>
        <w:contextualSpacing w:val="0"/>
      </w:pPr>
    </w:p>
    <w:tbl>
      <w:tblPr>
        <w:tblStyle w:val="a1"/>
        <w:tblW w:w="10485" w:type="dxa"/>
        <w:tblInd w:w="-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1035"/>
        <w:gridCol w:w="975"/>
        <w:gridCol w:w="1050"/>
        <w:gridCol w:w="930"/>
        <w:gridCol w:w="1035"/>
        <w:gridCol w:w="1005"/>
        <w:gridCol w:w="1110"/>
        <w:gridCol w:w="945"/>
        <w:gridCol w:w="1455"/>
      </w:tblGrid>
      <w:tr w:rsidR="006F3133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133" w:rsidRDefault="00183A9D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428625" cy="317500"/>
                  <wp:effectExtent l="0" t="0" r="0" b="0"/>
                  <wp:docPr id="8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133" w:rsidRDefault="00183A9D">
            <w:pPr>
              <w:pStyle w:val="normal0"/>
              <w:spacing w:line="240" w:lineRule="auto"/>
              <w:contextualSpacing w:val="0"/>
            </w:pPr>
            <w:hyperlink r:id="rId19">
              <w:r>
                <w:rPr>
                  <w:rFonts w:ascii="Proxima Nova" w:eastAsia="Proxima Nova" w:hAnsi="Proxima Nova" w:cs="Proxima Nova"/>
                  <w:color w:val="777777"/>
                  <w:sz w:val="18"/>
                  <w:szCs w:val="18"/>
                </w:rPr>
                <w:t>Credit Cards</w:t>
              </w:r>
            </w:hyperlink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133" w:rsidRDefault="00183A9D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428625" cy="254000"/>
                  <wp:effectExtent l="0" t="0" r="0" b="0"/>
                  <wp:docPr id="7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133" w:rsidRDefault="00183A9D">
            <w:pPr>
              <w:pStyle w:val="normal0"/>
              <w:spacing w:line="240" w:lineRule="auto"/>
              <w:contextualSpacing w:val="0"/>
            </w:pPr>
            <w:hyperlink r:id="rId21">
              <w:r>
                <w:rPr>
                  <w:rFonts w:ascii="Proxima Nova" w:eastAsia="Proxima Nova" w:hAnsi="Proxima Nova" w:cs="Proxima Nova"/>
                  <w:color w:val="777777"/>
                  <w:sz w:val="18"/>
                  <w:szCs w:val="18"/>
                </w:rPr>
                <w:t>Loans &amp; Savings</w:t>
              </w:r>
            </w:hyperlink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133" w:rsidRDefault="00183A9D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428625" cy="317500"/>
                  <wp:effectExtent l="0" t="0" r="0" b="0"/>
                  <wp:docPr id="12" name="image3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133" w:rsidRDefault="00183A9D">
            <w:pPr>
              <w:pStyle w:val="normal0"/>
              <w:spacing w:line="240" w:lineRule="auto"/>
              <w:contextualSpacing w:val="0"/>
            </w:pPr>
            <w:hyperlink r:id="rId23">
              <w:r>
                <w:rPr>
                  <w:rFonts w:ascii="Proxima Nova" w:eastAsia="Proxima Nova" w:hAnsi="Proxima Nova" w:cs="Proxima Nova"/>
                  <w:color w:val="777777"/>
                  <w:sz w:val="18"/>
                  <w:szCs w:val="18"/>
                </w:rPr>
                <w:t>Insurance</w:t>
              </w:r>
            </w:hyperlink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133" w:rsidRDefault="00183A9D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290945" cy="300038"/>
                  <wp:effectExtent l="0" t="0" r="0" b="0"/>
                  <wp:docPr id="9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45" cy="300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133" w:rsidRDefault="00183A9D">
            <w:pPr>
              <w:pStyle w:val="normal0"/>
              <w:spacing w:line="240" w:lineRule="auto"/>
              <w:contextualSpacing w:val="0"/>
            </w:pPr>
            <w:hyperlink r:id="rId25">
              <w:r>
                <w:rPr>
                  <w:rFonts w:ascii="Proxima Nova" w:eastAsia="Proxima Nova" w:hAnsi="Proxima Nova" w:cs="Proxima Nova"/>
                  <w:color w:val="777777"/>
                  <w:sz w:val="18"/>
                  <w:szCs w:val="18"/>
                </w:rPr>
                <w:t>Electricity &amp; Gas</w:t>
              </w:r>
            </w:hyperlink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133" w:rsidRDefault="00183A9D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428625" cy="317500"/>
                  <wp:effectExtent l="0" t="0" r="0" b="0"/>
                  <wp:docPr id="19" name="image3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133" w:rsidRDefault="00183A9D">
            <w:pPr>
              <w:pStyle w:val="normal0"/>
              <w:spacing w:line="240" w:lineRule="auto"/>
              <w:contextualSpacing w:val="0"/>
            </w:pPr>
            <w:hyperlink r:id="rId27">
              <w:r>
                <w:rPr>
                  <w:rFonts w:ascii="Proxima Nova" w:eastAsia="Proxima Nova" w:hAnsi="Proxima Nova" w:cs="Proxima Nova"/>
                  <w:color w:val="777777"/>
                  <w:sz w:val="18"/>
                  <w:szCs w:val="18"/>
                </w:rPr>
                <w:t xml:space="preserve">Shopping </w:t>
              </w:r>
            </w:hyperlink>
            <w:hyperlink r:id="rId28">
              <w:r>
                <w:rPr>
                  <w:rFonts w:ascii="Proxima Nova" w:eastAsia="Proxima Nova" w:hAnsi="Proxima Nova" w:cs="Proxima Nova"/>
                  <w:color w:val="777777"/>
                  <w:sz w:val="18"/>
                  <w:szCs w:val="18"/>
                </w:rPr>
                <w:t>Deals</w:t>
              </w:r>
            </w:hyperlink>
          </w:p>
        </w:tc>
      </w:tr>
    </w:tbl>
    <w:p w:rsidR="006F3133" w:rsidRDefault="006F3133">
      <w:pPr>
        <w:pStyle w:val="normal0"/>
        <w:contextualSpacing w:val="0"/>
      </w:pPr>
    </w:p>
    <w:p w:rsidR="006F3133" w:rsidRDefault="00183A9D">
      <w:pPr>
        <w:pStyle w:val="normal0"/>
        <w:contextualSpacing w:val="0"/>
        <w:jc w:val="center"/>
      </w:pPr>
      <w:hyperlink r:id="rId29">
        <w:r>
          <w:rPr>
            <w:rFonts w:ascii="Proxima Nova" w:eastAsia="Proxima Nova" w:hAnsi="Proxima Nova" w:cs="Proxima Nova"/>
            <w:color w:val="777777"/>
            <w:u w:val="single"/>
          </w:rPr>
          <w:t>Privacy Policy</w:t>
        </w:r>
      </w:hyperlink>
      <w:r>
        <w:rPr>
          <w:rFonts w:ascii="Proxima Nova" w:eastAsia="Proxima Nova" w:hAnsi="Proxima Nova" w:cs="Proxima Nova"/>
          <w:color w:val="777777"/>
        </w:rPr>
        <w:t xml:space="preserve"> | </w:t>
      </w:r>
      <w:hyperlink r:id="rId30">
        <w:proofErr w:type="gramStart"/>
        <w:r>
          <w:rPr>
            <w:rFonts w:ascii="Proxima Nova" w:eastAsia="Proxima Nova" w:hAnsi="Proxima Nova" w:cs="Proxima Nova"/>
            <w:color w:val="777777"/>
            <w:u w:val="single"/>
          </w:rPr>
          <w:t>About</w:t>
        </w:r>
        <w:proofErr w:type="gramEnd"/>
        <w:r>
          <w:rPr>
            <w:rFonts w:ascii="Proxima Nova" w:eastAsia="Proxima Nova" w:hAnsi="Proxima Nova" w:cs="Proxima Nova"/>
            <w:color w:val="777777"/>
            <w:u w:val="single"/>
          </w:rPr>
          <w:t xml:space="preserve"> finder.com.au</w:t>
        </w:r>
      </w:hyperlink>
      <w:r>
        <w:rPr>
          <w:rFonts w:ascii="Proxima Nova" w:eastAsia="Proxima Nova" w:hAnsi="Proxima Nova" w:cs="Proxima Nova"/>
          <w:color w:val="777777"/>
        </w:rPr>
        <w:t xml:space="preserve"> | </w:t>
      </w:r>
      <w:hyperlink r:id="rId31">
        <w:r>
          <w:rPr>
            <w:rFonts w:ascii="Proxima Nova" w:eastAsia="Proxima Nova" w:hAnsi="Proxima Nova" w:cs="Proxima Nova"/>
            <w:color w:val="777777"/>
            <w:u w:val="single"/>
          </w:rPr>
          <w:t>Contact Us</w:t>
        </w:r>
      </w:hyperlink>
      <w:r>
        <w:rPr>
          <w:rFonts w:ascii="Proxima Nova" w:eastAsia="Proxima Nova" w:hAnsi="Proxima Nova" w:cs="Proxima Nova"/>
          <w:color w:val="777777"/>
        </w:rPr>
        <w:t xml:space="preserve"> | </w:t>
      </w:r>
      <w:hyperlink r:id="rId32">
        <w:r>
          <w:rPr>
            <w:rFonts w:ascii="Proxima Nova" w:eastAsia="Proxima Nova" w:hAnsi="Proxima Nova" w:cs="Proxima Nova"/>
            <w:color w:val="777777"/>
            <w:u w:val="single"/>
          </w:rPr>
          <w:t xml:space="preserve">Media </w:t>
        </w:r>
      </w:hyperlink>
      <w:hyperlink r:id="rId33">
        <w:r>
          <w:rPr>
            <w:rFonts w:ascii="Proxima Nova" w:eastAsia="Proxima Nova" w:hAnsi="Proxima Nova" w:cs="Proxima Nova"/>
            <w:color w:val="777777"/>
            <w:u w:val="single"/>
          </w:rPr>
          <w:t>Room</w:t>
        </w:r>
      </w:hyperlink>
    </w:p>
    <w:p w:rsidR="006F3133" w:rsidRDefault="006F3133">
      <w:pPr>
        <w:pStyle w:val="normal0"/>
        <w:contextualSpacing w:val="0"/>
      </w:pPr>
    </w:p>
    <w:sectPr w:rsidR="006F3133">
      <w:headerReference w:type="default" r:id="rId34"/>
      <w:headerReference w:type="first" r:id="rId35"/>
      <w:footerReference w:type="first" r:id="rId36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83A9D">
      <w:pPr>
        <w:spacing w:line="240" w:lineRule="auto"/>
      </w:pPr>
      <w:r>
        <w:separator/>
      </w:r>
    </w:p>
  </w:endnote>
  <w:endnote w:type="continuationSeparator" w:id="0">
    <w:p w:rsidR="00000000" w:rsidRDefault="00183A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roxima Nova">
    <w:altName w:val="Times New Roman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133" w:rsidRDefault="006F3133">
    <w:pPr>
      <w:pStyle w:val="normal0"/>
      <w:contextualSpacing w:val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83A9D">
      <w:pPr>
        <w:spacing w:line="240" w:lineRule="auto"/>
      </w:pPr>
      <w:r>
        <w:separator/>
      </w:r>
    </w:p>
  </w:footnote>
  <w:footnote w:type="continuationSeparator" w:id="0">
    <w:p w:rsidR="00000000" w:rsidRDefault="00183A9D">
      <w:pPr>
        <w:spacing w:line="240" w:lineRule="auto"/>
      </w:pPr>
      <w:r>
        <w:continuationSeparator/>
      </w:r>
    </w:p>
  </w:footnote>
  <w:footnote w:id="1">
    <w:p w:rsidR="006F3133" w:rsidRDefault="00183A9D">
      <w:pPr>
        <w:pStyle w:val="normal0"/>
        <w:spacing w:line="240" w:lineRule="auto"/>
        <w:ind w:left="20"/>
        <w:contextualSpacing w:val="0"/>
      </w:pPr>
      <w:r>
        <w:rPr>
          <w:vertAlign w:val="superscript"/>
        </w:rPr>
        <w:footnoteRef/>
      </w:r>
      <w:r>
        <w:rPr>
          <w:rFonts w:ascii="Tahoma" w:eastAsia="Tahoma" w:hAnsi="Tahoma" w:cs="Tahoma"/>
          <w:color w:val="999999"/>
          <w:sz w:val="20"/>
          <w:szCs w:val="20"/>
        </w:rPr>
        <w:t xml:space="preserve"> </w:t>
      </w:r>
      <w:r>
        <w:rPr>
          <w:color w:val="777777"/>
          <w:sz w:val="18"/>
          <w:szCs w:val="18"/>
        </w:rPr>
        <w:t xml:space="preserve">Based on Experian </w:t>
      </w:r>
      <w:proofErr w:type="spellStart"/>
      <w:r>
        <w:rPr>
          <w:color w:val="777777"/>
          <w:sz w:val="18"/>
          <w:szCs w:val="18"/>
        </w:rPr>
        <w:t>Hitwise</w:t>
      </w:r>
      <w:proofErr w:type="spellEnd"/>
      <w:r>
        <w:rPr>
          <w:color w:val="777777"/>
          <w:sz w:val="18"/>
          <w:szCs w:val="18"/>
        </w:rPr>
        <w:t>, since 2013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133" w:rsidRDefault="006F3133">
    <w:pPr>
      <w:pStyle w:val="normal0"/>
      <w:contextualSpacing w:val="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133" w:rsidRDefault="006F3133">
    <w:pPr>
      <w:pStyle w:val="normal0"/>
      <w:spacing w:line="240" w:lineRule="auto"/>
      <w:contextualSpacing w:val="0"/>
    </w:pPr>
  </w:p>
  <w:tbl>
    <w:tblPr>
      <w:tblStyle w:val="a3"/>
      <w:tblW w:w="11895" w:type="dxa"/>
      <w:tblInd w:w="-1440" w:type="dxa"/>
      <w:tblLayout w:type="fixed"/>
      <w:tblLook w:val="0600" w:firstRow="0" w:lastRow="0" w:firstColumn="0" w:lastColumn="0" w:noHBand="1" w:noVBand="1"/>
    </w:tblPr>
    <w:tblGrid>
      <w:gridCol w:w="11895"/>
    </w:tblGrid>
    <w:tr w:rsidR="006F3133">
      <w:trPr>
        <w:trHeight w:val="740"/>
      </w:trPr>
      <w:tc>
        <w:tcPr>
          <w:tcW w:w="1189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6F3133" w:rsidRDefault="006F3133">
          <w:pPr>
            <w:pStyle w:val="normal0"/>
            <w:spacing w:line="240" w:lineRule="auto"/>
            <w:ind w:right="1305"/>
            <w:contextualSpacing w:val="0"/>
          </w:pPr>
        </w:p>
      </w:tc>
    </w:tr>
    <w:tr w:rsidR="006F3133">
      <w:trPr>
        <w:trHeight w:val="120"/>
      </w:trPr>
      <w:tc>
        <w:tcPr>
          <w:tcW w:w="11895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6F3133" w:rsidRDefault="00183A9D">
          <w:pPr>
            <w:pStyle w:val="normal0"/>
            <w:spacing w:line="240" w:lineRule="auto"/>
            <w:ind w:right="1305"/>
            <w:contextualSpacing w:val="0"/>
          </w:pPr>
          <w:r>
            <w:t xml:space="preserve">      </w:t>
          </w:r>
          <w:r>
            <w:rPr>
              <w:noProof/>
              <w:lang w:val="en-US"/>
            </w:rPr>
            <w:drawing>
              <wp:inline distT="0" distB="0" distL="0" distR="0">
                <wp:extent cx="1789635" cy="576263"/>
                <wp:effectExtent l="0" t="0" r="0" b="0"/>
                <wp:docPr id="11" name="image30.png" descr="FIN_Logo_500x16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0.png" descr="FIN_Logo_500x16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9635" cy="5762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</w:t>
          </w:r>
          <w:r>
            <w:rPr>
              <w:noProof/>
              <w:lang w:val="en-US"/>
            </w:rPr>
            <w:drawing>
              <wp:inline distT="114300" distB="114300" distL="114300" distR="114300">
                <wp:extent cx="338138" cy="338138"/>
                <wp:effectExtent l="0" t="0" r="0" b="0"/>
                <wp:docPr id="15" name="image34.png" descr="icon_faceboo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4.png" descr="icon_facebook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8" cy="3381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US"/>
            </w:rPr>
            <w:drawing>
              <wp:inline distT="114300" distB="114300" distL="114300" distR="114300">
                <wp:extent cx="338138" cy="338138"/>
                <wp:effectExtent l="0" t="0" r="0" b="0"/>
                <wp:docPr id="17" name="image36.png" descr="icon_gplus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6.png" descr="icon_gplus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8" cy="3381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US"/>
            </w:rPr>
            <w:drawing>
              <wp:inline distT="114300" distB="114300" distL="114300" distR="114300">
                <wp:extent cx="338138" cy="338138"/>
                <wp:effectExtent l="0" t="0" r="0" b="0"/>
                <wp:docPr id="4" name="image22.png" descr="icon_twitte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2.png" descr="icon_twitter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8" cy="3381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US"/>
            </w:rPr>
            <w:drawing>
              <wp:inline distT="114300" distB="114300" distL="114300" distR="114300">
                <wp:extent cx="338138" cy="338138"/>
                <wp:effectExtent l="0" t="0" r="0" b="0"/>
                <wp:docPr id="1" name="image16.png" descr="icon_twitternews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6.png" descr="icon_twitternews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8" cy="3381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US"/>
            </w:rPr>
            <w:drawing>
              <wp:inline distT="114300" distB="114300" distL="114300" distR="114300">
                <wp:extent cx="338138" cy="338138"/>
                <wp:effectExtent l="0" t="0" r="0" b="0"/>
                <wp:docPr id="20" name="image39.png" descr="icon_linkedin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9.png" descr="icon_linkedin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8" cy="3381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US"/>
            </w:rPr>
            <w:drawing>
              <wp:inline distT="114300" distB="114300" distL="114300" distR="114300">
                <wp:extent cx="338138" cy="338138"/>
                <wp:effectExtent l="0" t="0" r="0" b="0"/>
                <wp:docPr id="14" name="image33.png" descr="icon_pinteres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3.png" descr="icon_pinterest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8" cy="3381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US"/>
            </w:rPr>
            <w:drawing>
              <wp:inline distT="114300" distB="114300" distL="114300" distR="114300">
                <wp:extent cx="338138" cy="338138"/>
                <wp:effectExtent l="0" t="0" r="0" b="0"/>
                <wp:docPr id="3" name="image18.png" descr="icon_instagram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8.png" descr="icon_instagram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8" cy="3381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6F3133">
      <w:trPr>
        <w:trHeight w:val="120"/>
      </w:trPr>
      <w:tc>
        <w:tcPr>
          <w:tcW w:w="11895" w:type="dxa"/>
          <w:tcBorders>
            <w:top w:val="nil"/>
            <w:left w:val="nil"/>
            <w:bottom w:val="nil"/>
            <w:right w:val="nil"/>
          </w:tcBorders>
          <w:shd w:val="clear" w:color="auto" w:fill="18304B"/>
          <w:tcMar>
            <w:top w:w="100" w:type="dxa"/>
            <w:left w:w="100" w:type="dxa"/>
            <w:bottom w:w="100" w:type="dxa"/>
            <w:right w:w="100" w:type="dxa"/>
          </w:tcMar>
        </w:tcPr>
        <w:p w:rsidR="006F3133" w:rsidRDefault="00183A9D">
          <w:pPr>
            <w:pStyle w:val="normal0"/>
            <w:spacing w:before="200" w:after="120" w:line="240" w:lineRule="auto"/>
            <w:ind w:left="30" w:right="1305"/>
            <w:contextualSpacing w:val="0"/>
            <w:jc w:val="right"/>
          </w:pPr>
          <w:r>
            <w:rPr>
              <w:b/>
              <w:color w:val="FFFFFF"/>
              <w:sz w:val="24"/>
              <w:szCs w:val="24"/>
            </w:rPr>
            <w:t>PRESS RELEASE</w:t>
          </w:r>
        </w:p>
      </w:tc>
    </w:tr>
    <w:tr w:rsidR="006F3133">
      <w:trPr>
        <w:trHeight w:val="120"/>
      </w:trPr>
      <w:tc>
        <w:tcPr>
          <w:tcW w:w="11895" w:type="dxa"/>
          <w:tcBorders>
            <w:top w:val="nil"/>
            <w:left w:val="nil"/>
            <w:bottom w:val="nil"/>
            <w:right w:val="nil"/>
          </w:tcBorders>
          <w:shd w:val="clear" w:color="auto" w:fill="1591FE"/>
          <w:tcMar>
            <w:left w:w="0" w:type="dxa"/>
            <w:right w:w="0" w:type="dxa"/>
          </w:tcMar>
        </w:tcPr>
        <w:p w:rsidR="006F3133" w:rsidRDefault="00183A9D">
          <w:pPr>
            <w:pStyle w:val="normal0"/>
            <w:spacing w:line="240" w:lineRule="auto"/>
            <w:ind w:left="30" w:right="1305"/>
            <w:contextualSpacing w:val="0"/>
            <w:jc w:val="right"/>
          </w:pPr>
          <w:r>
            <w:rPr>
              <w:sz w:val="12"/>
              <w:szCs w:val="12"/>
            </w:rPr>
            <w:t xml:space="preserve"> </w:t>
          </w:r>
        </w:p>
      </w:tc>
    </w:tr>
  </w:tbl>
  <w:p w:rsidR="006F3133" w:rsidRDefault="006F3133">
    <w:pPr>
      <w:pStyle w:val="normal0"/>
      <w:spacing w:line="240" w:lineRule="auto"/>
      <w:contextualSpacing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3133"/>
    <w:rsid w:val="00183A9D"/>
    <w:rsid w:val="006F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AU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9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A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AU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9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A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7.png"/><Relationship Id="rId21" Type="http://schemas.openxmlformats.org/officeDocument/2006/relationships/hyperlink" Target="http://www.finder.com.au/money" TargetMode="External"/><Relationship Id="rId22" Type="http://schemas.openxmlformats.org/officeDocument/2006/relationships/image" Target="media/image8.png"/><Relationship Id="rId23" Type="http://schemas.openxmlformats.org/officeDocument/2006/relationships/hyperlink" Target="http://www.finder.com.au/insurance" TargetMode="External"/><Relationship Id="rId24" Type="http://schemas.openxmlformats.org/officeDocument/2006/relationships/image" Target="media/image9.png"/><Relationship Id="rId25" Type="http://schemas.openxmlformats.org/officeDocument/2006/relationships/hyperlink" Target="http://www.finder.com.au/energy" TargetMode="External"/><Relationship Id="rId26" Type="http://schemas.openxmlformats.org/officeDocument/2006/relationships/image" Target="media/image10.png"/><Relationship Id="rId27" Type="http://schemas.openxmlformats.org/officeDocument/2006/relationships/hyperlink" Target="http://www.finder.com.au/shopping" TargetMode="External"/><Relationship Id="rId28" Type="http://schemas.openxmlformats.org/officeDocument/2006/relationships/hyperlink" Target="http://www.finder.com.au/shopping" TargetMode="External"/><Relationship Id="rId29" Type="http://schemas.openxmlformats.org/officeDocument/2006/relationships/hyperlink" Target="http://www.finder.com.au/financial-services-guide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finder.com.au/about-us" TargetMode="External"/><Relationship Id="rId31" Type="http://schemas.openxmlformats.org/officeDocument/2006/relationships/hyperlink" Target="http://www.finder.com.au/contact-us" TargetMode="External"/><Relationship Id="rId32" Type="http://schemas.openxmlformats.org/officeDocument/2006/relationships/hyperlink" Target="http://www.finder.com.au/media" TargetMode="External"/><Relationship Id="rId9" Type="http://schemas.openxmlformats.org/officeDocument/2006/relationships/hyperlink" Target="http://finder.com.au/" TargetMode="Externa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finder.com.au/" TargetMode="External"/><Relationship Id="rId33" Type="http://schemas.openxmlformats.org/officeDocument/2006/relationships/hyperlink" Target="http://www.finder.com.au/media" TargetMode="External"/><Relationship Id="rId34" Type="http://schemas.openxmlformats.org/officeDocument/2006/relationships/header" Target="header1.xml"/><Relationship Id="rId35" Type="http://schemas.openxmlformats.org/officeDocument/2006/relationships/header" Target="header2.xml"/><Relationship Id="rId36" Type="http://schemas.openxmlformats.org/officeDocument/2006/relationships/footer" Target="footer1.xml"/><Relationship Id="rId10" Type="http://schemas.openxmlformats.org/officeDocument/2006/relationships/image" Target="media/image2.png"/><Relationship Id="rId11" Type="http://schemas.openxmlformats.org/officeDocument/2006/relationships/hyperlink" Target="http://finder.com.au/" TargetMode="External"/><Relationship Id="rId12" Type="http://schemas.openxmlformats.org/officeDocument/2006/relationships/image" Target="media/image3.png"/><Relationship Id="rId13" Type="http://schemas.openxmlformats.org/officeDocument/2006/relationships/image" Target="media/image4.jpg"/><Relationship Id="rId14" Type="http://schemas.openxmlformats.org/officeDocument/2006/relationships/hyperlink" Target="mailto:Michelle@finder.com.au" TargetMode="External"/><Relationship Id="rId15" Type="http://schemas.openxmlformats.org/officeDocument/2006/relationships/image" Target="media/image5.jpg"/><Relationship Id="rId16" Type="http://schemas.openxmlformats.org/officeDocument/2006/relationships/hyperlink" Target="mailto:Bessie@finder.com.au" TargetMode="External"/><Relationship Id="rId17" Type="http://schemas.openxmlformats.org/officeDocument/2006/relationships/hyperlink" Target="mailto:Bessie@finder.com.au" TargetMode="External"/><Relationship Id="rId18" Type="http://schemas.openxmlformats.org/officeDocument/2006/relationships/image" Target="media/image6.png"/><Relationship Id="rId19" Type="http://schemas.openxmlformats.org/officeDocument/2006/relationships/hyperlink" Target="http://www.creditcardfinder.com.au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4" Type="http://schemas.openxmlformats.org/officeDocument/2006/relationships/image" Target="media/image14.png"/><Relationship Id="rId5" Type="http://schemas.openxmlformats.org/officeDocument/2006/relationships/image" Target="media/image15.png"/><Relationship Id="rId6" Type="http://schemas.openxmlformats.org/officeDocument/2006/relationships/image" Target="media/image16.png"/><Relationship Id="rId7" Type="http://schemas.openxmlformats.org/officeDocument/2006/relationships/image" Target="media/image17.png"/><Relationship Id="rId8" Type="http://schemas.openxmlformats.org/officeDocument/2006/relationships/image" Target="media/image18.png"/><Relationship Id="rId1" Type="http://schemas.openxmlformats.org/officeDocument/2006/relationships/image" Target="media/image11.png"/><Relationship Id="rId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602</Words>
  <Characters>3438</Characters>
  <Application>Microsoft Macintosh Word</Application>
  <DocSecurity>0</DocSecurity>
  <Lines>28</Lines>
  <Paragraphs>8</Paragraphs>
  <ScaleCrop>false</ScaleCrop>
  <Company>Finder.com.au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Hutchison</cp:lastModifiedBy>
  <cp:revision>2</cp:revision>
  <dcterms:created xsi:type="dcterms:W3CDTF">2015-10-19T00:23:00Z</dcterms:created>
  <dcterms:modified xsi:type="dcterms:W3CDTF">2015-10-19T00:23:00Z</dcterms:modified>
</cp:coreProperties>
</file>