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48D" w:rsidRPr="00085B5C" w:rsidRDefault="00085B5C">
      <w:pPr>
        <w:pStyle w:val="Heading1"/>
        <w:spacing w:before="0" w:line="240" w:lineRule="auto"/>
        <w:ind w:left="20"/>
        <w:contextualSpacing w:val="0"/>
        <w:jc w:val="right"/>
        <w:rPr>
          <w:rFonts w:ascii="Arial" w:hAnsi="Arial" w:cs="Arial"/>
        </w:rPr>
      </w:pPr>
      <w:r w:rsidRPr="00085B5C">
        <w:rPr>
          <w:rFonts w:ascii="Arial" w:eastAsia="Proxima Nova" w:hAnsi="Arial" w:cs="Arial"/>
          <w:b/>
          <w:color w:val="18304B"/>
          <w:sz w:val="28"/>
          <w:szCs w:val="28"/>
        </w:rPr>
        <w:t>For immediate release</w:t>
      </w:r>
    </w:p>
    <w:p w:rsidR="008F548D" w:rsidRPr="00085B5C" w:rsidRDefault="00085B5C">
      <w:pPr>
        <w:pStyle w:val="normal0"/>
        <w:spacing w:line="240" w:lineRule="auto"/>
        <w:contextualSpacing w:val="0"/>
        <w:jc w:val="right"/>
      </w:pPr>
      <w:r w:rsidRPr="00085B5C">
        <w:rPr>
          <w:rFonts w:eastAsia="Proxima Nova"/>
          <w:color w:val="18304B"/>
          <w:sz w:val="24"/>
          <w:szCs w:val="24"/>
        </w:rPr>
        <w:t>October 29, 2015</w:t>
      </w:r>
    </w:p>
    <w:p w:rsidR="008F548D" w:rsidRPr="00085B5C" w:rsidRDefault="00085B5C">
      <w:pPr>
        <w:pStyle w:val="normal0"/>
        <w:ind w:left="20"/>
        <w:contextualSpacing w:val="0"/>
      </w:pPr>
      <w:r w:rsidRPr="00085B5C">
        <w:rPr>
          <w:rFonts w:eastAsia="Proxima Nova"/>
          <w:b/>
          <w:color w:val="1591FE"/>
          <w:sz w:val="48"/>
          <w:szCs w:val="48"/>
        </w:rPr>
        <w:t>Mobile phone comparison launches to help millions of Australians find better</w:t>
      </w:r>
    </w:p>
    <w:p w:rsidR="008F548D" w:rsidRPr="00085B5C" w:rsidRDefault="008F548D">
      <w:pPr>
        <w:pStyle w:val="normal0"/>
        <w:spacing w:line="240" w:lineRule="auto"/>
        <w:ind w:left="-30"/>
        <w:contextualSpacing w:val="0"/>
      </w:pPr>
    </w:p>
    <w:p w:rsidR="008F548D" w:rsidRPr="00085B5C" w:rsidRDefault="00085B5C">
      <w:pPr>
        <w:pStyle w:val="normal0"/>
        <w:spacing w:line="240" w:lineRule="auto"/>
        <w:ind w:left="-30"/>
        <w:contextualSpacing w:val="0"/>
      </w:pPr>
      <w:r w:rsidRPr="00085B5C">
        <w:rPr>
          <w:noProof/>
          <w:lang w:val="en-US"/>
        </w:rPr>
        <w:drawing>
          <wp:inline distT="114300" distB="114300" distL="114300" distR="114300" wp14:anchorId="2CAD328A" wp14:editId="0B78B293">
            <wp:extent cx="142875" cy="123825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85B5C">
        <w:rPr>
          <w:rFonts w:eastAsia="Proxima Nova"/>
          <w:color w:val="18304B"/>
          <w:sz w:val="20"/>
          <w:szCs w:val="20"/>
        </w:rPr>
        <w:t xml:space="preserve"> Market-leading mobile phone comparison launches in Australia</w:t>
      </w:r>
    </w:p>
    <w:p w:rsidR="008F548D" w:rsidRPr="00085B5C" w:rsidRDefault="00085B5C">
      <w:pPr>
        <w:pStyle w:val="normal0"/>
        <w:spacing w:line="240" w:lineRule="auto"/>
        <w:ind w:left="-30"/>
        <w:contextualSpacing w:val="0"/>
      </w:pPr>
      <w:r w:rsidRPr="00085B5C">
        <w:rPr>
          <w:noProof/>
          <w:lang w:val="en-US"/>
        </w:rPr>
        <w:drawing>
          <wp:inline distT="114300" distB="114300" distL="114300" distR="114300" wp14:anchorId="30676E18" wp14:editId="0AF76D82">
            <wp:extent cx="142875" cy="123825"/>
            <wp:effectExtent l="0" t="0" r="0" b="0"/>
            <wp:docPr id="24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85B5C">
        <w:rPr>
          <w:rFonts w:eastAsia="Proxima Nova"/>
          <w:color w:val="18304B"/>
          <w:sz w:val="20"/>
          <w:szCs w:val="20"/>
        </w:rPr>
        <w:t xml:space="preserve"> Growing issue for Australians: should I buy outright or contract?</w:t>
      </w:r>
    </w:p>
    <w:p w:rsidR="008F548D" w:rsidRPr="00085B5C" w:rsidRDefault="00085B5C">
      <w:pPr>
        <w:pStyle w:val="normal0"/>
        <w:spacing w:line="240" w:lineRule="auto"/>
        <w:ind w:left="-30"/>
        <w:contextualSpacing w:val="0"/>
      </w:pPr>
      <w:r w:rsidRPr="00085B5C">
        <w:rPr>
          <w:noProof/>
          <w:lang w:val="en-US"/>
        </w:rPr>
        <w:drawing>
          <wp:inline distT="114300" distB="114300" distL="114300" distR="114300" wp14:anchorId="5130BF16" wp14:editId="561F84EF">
            <wp:extent cx="142875" cy="123825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85B5C">
        <w:rPr>
          <w:rFonts w:eastAsia="Proxima Nova"/>
          <w:color w:val="18304B"/>
          <w:sz w:val="20"/>
          <w:szCs w:val="20"/>
        </w:rPr>
        <w:t xml:space="preserve"> Australians set to save hundreds – even thousands – of dollars by choosing the right plans</w:t>
      </w:r>
    </w:p>
    <w:tbl>
      <w:tblPr>
        <w:tblStyle w:val="a"/>
        <w:tblW w:w="9495" w:type="dxa"/>
        <w:tblInd w:w="-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20"/>
        <w:gridCol w:w="900"/>
        <w:gridCol w:w="915"/>
        <w:gridCol w:w="885"/>
        <w:gridCol w:w="1050"/>
        <w:gridCol w:w="795"/>
        <w:gridCol w:w="960"/>
        <w:gridCol w:w="1005"/>
        <w:gridCol w:w="1365"/>
      </w:tblGrid>
      <w:tr w:rsidR="008F548D" w:rsidRPr="00085B5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ind w:left="-15"/>
              <w:contextualSpacing w:val="0"/>
            </w:pPr>
          </w:p>
        </w:tc>
      </w:tr>
    </w:tbl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b/>
          <w:sz w:val="24"/>
          <w:szCs w:val="24"/>
        </w:rPr>
        <w:t>October 29, 2015, Sydney, Australia</w:t>
      </w:r>
      <w:r w:rsidRPr="00085B5C">
        <w:rPr>
          <w:rFonts w:eastAsia="Proxima Nova"/>
          <w:sz w:val="24"/>
          <w:szCs w:val="24"/>
        </w:rPr>
        <w:t xml:space="preserve"> – </w:t>
      </w:r>
      <w:r w:rsidRPr="00085B5C">
        <w:rPr>
          <w:rFonts w:eastAsia="Proxima Nova"/>
        </w:rPr>
        <w:t>One of Australia’</w:t>
      </w:r>
      <w:r w:rsidRPr="00085B5C">
        <w:rPr>
          <w:rFonts w:eastAsia="Proxima Nova"/>
          <w:highlight w:val="white"/>
        </w:rPr>
        <w:t xml:space="preserve">s biggest comparison websites </w:t>
      </w:r>
      <w:hyperlink r:id="rId9">
        <w:r w:rsidRPr="00085B5C">
          <w:rPr>
            <w:rFonts w:eastAsia="Proxima Nova"/>
            <w:color w:val="1155CC"/>
            <w:highlight w:val="white"/>
            <w:u w:val="single"/>
          </w:rPr>
          <w:t>finder.com.au</w:t>
        </w:r>
      </w:hyperlink>
      <w:r w:rsidRPr="00085B5C">
        <w:rPr>
          <w:rFonts w:eastAsia="Proxima Nova"/>
          <w:highlight w:val="white"/>
          <w:vertAlign w:val="superscript"/>
        </w:rPr>
        <w:footnoteReference w:id="1"/>
      </w:r>
      <w:r w:rsidRPr="00085B5C">
        <w:rPr>
          <w:rFonts w:eastAsia="Proxima Nova"/>
          <w:highlight w:val="white"/>
        </w:rPr>
        <w:t xml:space="preserve"> has today launched a market-leading mobile phone comparison (</w:t>
      </w:r>
      <w:hyperlink r:id="rId10">
        <w:r w:rsidRPr="00085B5C">
          <w:rPr>
            <w:rFonts w:eastAsia="Proxima Nova"/>
            <w:color w:val="1155CC"/>
            <w:highlight w:val="white"/>
            <w:u w:val="single"/>
          </w:rPr>
          <w:t>finder.com.au/mobile-plans</w:t>
        </w:r>
      </w:hyperlink>
      <w:r w:rsidRPr="00085B5C">
        <w:rPr>
          <w:rFonts w:eastAsia="Proxima Nova"/>
          <w:highlight w:val="white"/>
        </w:rPr>
        <w:t>), to help Australians compare the thousands of mobile phone options in the market.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hyperlink r:id="rId11">
        <w:proofErr w:type="gramStart"/>
        <w:r w:rsidRPr="00085B5C">
          <w:rPr>
            <w:rFonts w:eastAsia="Proxima Nova"/>
            <w:color w:val="1155CC"/>
            <w:highlight w:val="white"/>
            <w:u w:val="single"/>
          </w:rPr>
          <w:t>finder.com.au</w:t>
        </w:r>
        <w:proofErr w:type="gramEnd"/>
        <w:r w:rsidRPr="00085B5C">
          <w:rPr>
            <w:rFonts w:eastAsia="Proxima Nova"/>
            <w:color w:val="1155CC"/>
            <w:highlight w:val="white"/>
            <w:u w:val="single"/>
          </w:rPr>
          <w:t>/mobile-plans</w:t>
        </w:r>
      </w:hyperlink>
      <w:r w:rsidRPr="00085B5C">
        <w:rPr>
          <w:rFonts w:eastAsia="Proxima Nova"/>
          <w:highlight w:val="white"/>
        </w:rPr>
        <w:t xml:space="preserve"> compares virtually every mobile phone plan on the market including over 220 contracts and SIM-only deals, 27 carriers as well as 35 mobile phone handsets. More upgrades to the se</w:t>
      </w:r>
      <w:r w:rsidRPr="00085B5C">
        <w:rPr>
          <w:rFonts w:eastAsia="Proxima Nova"/>
          <w:highlight w:val="white"/>
        </w:rPr>
        <w:t>arch engine will also be rolled out over the coming weeks.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 xml:space="preserve">Angus Kidman, Tech Expert and Editor in Chief at </w:t>
      </w:r>
      <w:hyperlink r:id="rId12">
        <w:r w:rsidRPr="00085B5C">
          <w:rPr>
            <w:rFonts w:eastAsia="Proxima Nova"/>
            <w:color w:val="1155CC"/>
            <w:highlight w:val="white"/>
            <w:u w:val="single"/>
          </w:rPr>
          <w:t>finder.com.au</w:t>
        </w:r>
      </w:hyperlink>
      <w:r w:rsidRPr="00085B5C">
        <w:rPr>
          <w:rFonts w:eastAsia="Proxima Nova"/>
          <w:highlight w:val="white"/>
        </w:rPr>
        <w:t>, is heading up the comparison, with newly appointed Telco Editor Alex Kidman, who was a form</w:t>
      </w:r>
      <w:r w:rsidRPr="00085B5C">
        <w:rPr>
          <w:rFonts w:eastAsia="Proxima Nova"/>
          <w:highlight w:val="white"/>
        </w:rPr>
        <w:t xml:space="preserve">er Editor of </w:t>
      </w:r>
      <w:proofErr w:type="spellStart"/>
      <w:r w:rsidRPr="00085B5C">
        <w:rPr>
          <w:rFonts w:eastAsia="Proxima Nova"/>
          <w:highlight w:val="white"/>
        </w:rPr>
        <w:t>Gizmodo</w:t>
      </w:r>
      <w:proofErr w:type="spellEnd"/>
      <w:r w:rsidRPr="00085B5C">
        <w:rPr>
          <w:rFonts w:eastAsia="Proxima Nova"/>
          <w:highlight w:val="white"/>
        </w:rPr>
        <w:t xml:space="preserve"> and CNET – both award-winning veteran journalists.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 xml:space="preserve">Angus Kidman says it’s the first time Australians can </w:t>
      </w:r>
      <w:r w:rsidRPr="00085B5C">
        <w:rPr>
          <w:rFonts w:eastAsia="Proxima Nova"/>
          <w:color w:val="222222"/>
          <w:highlight w:val="white"/>
        </w:rPr>
        <w:t>directly compare contract and outright deals side-by-side.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color w:val="222222"/>
          <w:highlight w:val="white"/>
        </w:rPr>
        <w:t>“We created a direct comparison of whether it's cheaper to buy a phon</w:t>
      </w:r>
      <w:r w:rsidRPr="00085B5C">
        <w:rPr>
          <w:rFonts w:eastAsia="Proxima Nova"/>
          <w:color w:val="222222"/>
          <w:highlight w:val="white"/>
        </w:rPr>
        <w:t>e on a 24-month contract, or buy outright and then pay for a month-to-month plan over two years, after finding that this was one of the biggest issues facing Australian mobile phone users.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color w:val="222222"/>
          <w:highlight w:val="white"/>
        </w:rPr>
        <w:t xml:space="preserve">“Our research shows that </w:t>
      </w:r>
      <w:r w:rsidRPr="00085B5C">
        <w:rPr>
          <w:rFonts w:eastAsia="Proxima Nova"/>
          <w:highlight w:val="white"/>
        </w:rPr>
        <w:t>Australia ranks the third highest for onl</w:t>
      </w:r>
      <w:r w:rsidRPr="00085B5C">
        <w:rPr>
          <w:rFonts w:eastAsia="Proxima Nova"/>
          <w:highlight w:val="white"/>
        </w:rPr>
        <w:t>ine searches of mobile phone comparisons, behind the UK and India</w:t>
      </w:r>
      <w:r w:rsidRPr="00085B5C">
        <w:rPr>
          <w:rFonts w:eastAsia="Proxima Nova"/>
          <w:highlight w:val="white"/>
          <w:vertAlign w:val="superscript"/>
        </w:rPr>
        <w:footnoteReference w:id="2"/>
      </w:r>
      <w:r w:rsidRPr="00085B5C">
        <w:rPr>
          <w:rFonts w:eastAsia="Proxima Nova"/>
          <w:highlight w:val="white"/>
        </w:rPr>
        <w:t xml:space="preserve">. It is one of the biggest issues talked about on online forums and </w:t>
      </w:r>
      <w:r w:rsidRPr="00085B5C">
        <w:rPr>
          <w:rFonts w:eastAsia="Proxima Nova"/>
          <w:color w:val="222222"/>
          <w:highlight w:val="white"/>
        </w:rPr>
        <w:t xml:space="preserve">Australians searching for mobile phones on </w:t>
      </w:r>
      <w:hyperlink r:id="rId13">
        <w:r w:rsidRPr="00085B5C">
          <w:rPr>
            <w:rFonts w:eastAsia="Proxima Nova"/>
            <w:color w:val="1155CC"/>
            <w:highlight w:val="white"/>
            <w:u w:val="single"/>
          </w:rPr>
          <w:t>finder.com.au</w:t>
        </w:r>
      </w:hyperlink>
      <w:r w:rsidRPr="00085B5C">
        <w:rPr>
          <w:rFonts w:eastAsia="Proxima Nova"/>
          <w:highlight w:val="white"/>
        </w:rPr>
        <w:t xml:space="preserve"> has more than tripled si</w:t>
      </w:r>
      <w:r w:rsidRPr="00085B5C">
        <w:rPr>
          <w:rFonts w:eastAsia="Proxima Nova"/>
          <w:highlight w:val="white"/>
        </w:rPr>
        <w:t>nce the beginning of the year.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>“With over 31 million active mobile phone plans held by Australians</w:t>
      </w:r>
      <w:r w:rsidRPr="00085B5C">
        <w:rPr>
          <w:rFonts w:eastAsia="Proxima Nova"/>
          <w:highlight w:val="white"/>
          <w:vertAlign w:val="superscript"/>
        </w:rPr>
        <w:footnoteReference w:id="3"/>
      </w:r>
      <w:r w:rsidRPr="00085B5C">
        <w:rPr>
          <w:rFonts w:eastAsia="Proxima Nova"/>
          <w:highlight w:val="white"/>
        </w:rPr>
        <w:t>, it’s very exciting to be able to help solve this problem and make it easier to sift through the thousands of mobile phone options for so many Australians.</w:t>
      </w:r>
      <w:r w:rsidRPr="00085B5C">
        <w:rPr>
          <w:rFonts w:eastAsia="Proxima Nova"/>
          <w:highlight w:val="white"/>
        </w:rPr>
        <w:t>”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 xml:space="preserve">Another key feature of </w:t>
      </w:r>
      <w:hyperlink r:id="rId14">
        <w:r w:rsidRPr="00085B5C">
          <w:rPr>
            <w:rFonts w:eastAsia="Proxima Nova"/>
            <w:color w:val="1155CC"/>
            <w:highlight w:val="white"/>
            <w:u w:val="single"/>
          </w:rPr>
          <w:t>finder.com.au/mobile-plans</w:t>
        </w:r>
      </w:hyperlink>
      <w:r w:rsidRPr="00085B5C">
        <w:rPr>
          <w:rFonts w:eastAsia="Proxima Nova"/>
          <w:highlight w:val="white"/>
        </w:rPr>
        <w:t xml:space="preserve"> is the ability to compare mobile phone plans for up to four different handsets. 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>“This feature is particularly helpful for those who aren't sure of w</w:t>
      </w:r>
      <w:r w:rsidRPr="00085B5C">
        <w:rPr>
          <w:rFonts w:eastAsia="Proxima Nova"/>
          <w:highlight w:val="white"/>
        </w:rPr>
        <w:t>hich storage size phone they should get, as this can greatly impact on the overall cost of contracts as well as purchasing the phone outright.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>“It’s also the only phone comparison website in Australia where you can compare up to four handsets at a time,” says Angus Kidman.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>Australians can potentially save hundreds – even thousands – of dollars by choosing the right type of phone and plan that su</w:t>
      </w:r>
      <w:r w:rsidRPr="00085B5C">
        <w:rPr>
          <w:rFonts w:eastAsia="Proxima Nova"/>
          <w:highlight w:val="white"/>
        </w:rPr>
        <w:t xml:space="preserve">its their needs, according to research compiled by </w:t>
      </w:r>
      <w:hyperlink r:id="rId15">
        <w:r w:rsidRPr="00085B5C">
          <w:rPr>
            <w:rFonts w:eastAsia="Proxima Nova"/>
            <w:color w:val="1155CC"/>
            <w:highlight w:val="white"/>
            <w:u w:val="single"/>
          </w:rPr>
          <w:t>finder.com.au/mobile-plans</w:t>
        </w:r>
      </w:hyperlink>
      <w:r w:rsidRPr="00085B5C">
        <w:rPr>
          <w:rFonts w:eastAsia="Proxima Nova"/>
          <w:highlight w:val="white"/>
        </w:rPr>
        <w:t>. For instance, the difference between SIM-only plans for 1GB of monthly data is over $80 per month, or almost $1,000 over one</w:t>
      </w:r>
      <w:r w:rsidRPr="00085B5C">
        <w:rPr>
          <w:rFonts w:eastAsia="Proxima Nova"/>
          <w:highlight w:val="white"/>
        </w:rPr>
        <w:t xml:space="preserve"> year, ranging from $17.90 with Dodo and up to $100 per month with Telstra. 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highlight w:val="white"/>
        </w:rPr>
        <w:t>Bigger data SIM-only deals range from $60 per month for Virgin Mobile with 10GB of monthly data, and up to $80 per month for Optus but with 15GB per month.</w:t>
      </w:r>
    </w:p>
    <w:p w:rsidR="008F548D" w:rsidRDefault="008F548D">
      <w:pPr>
        <w:pStyle w:val="normal0"/>
        <w:contextualSpacing w:val="0"/>
      </w:pPr>
    </w:p>
    <w:p w:rsidR="00085B5C" w:rsidRPr="00085B5C" w:rsidRDefault="00085B5C">
      <w:pPr>
        <w:pStyle w:val="normal0"/>
        <w:contextualSpacing w:val="0"/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</w:rPr>
        <w:t>SIM only, 1GB data pe</w:t>
      </w:r>
      <w:r w:rsidRPr="00085B5C">
        <w:rPr>
          <w:rFonts w:eastAsia="Proxima Nova"/>
          <w:b/>
        </w:rPr>
        <w:t>r month deals range from:</w:t>
      </w:r>
    </w:p>
    <w:tbl>
      <w:tblPr>
        <w:tblStyle w:val="a0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1357"/>
        <w:gridCol w:w="1605"/>
        <w:gridCol w:w="1995"/>
        <w:gridCol w:w="1357"/>
        <w:gridCol w:w="1357"/>
      </w:tblGrid>
      <w:tr w:rsidR="008F548D" w:rsidRPr="00085B5C"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60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per month</w:t>
            </w:r>
          </w:p>
        </w:tc>
        <w:tc>
          <w:tcPr>
            <w:tcW w:w="199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and texts per month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Prepaid or billed monthly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Dodo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4GB network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$17.90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$500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1GB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Billed monthly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Telstra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Telstra 4GB network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$100.00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800 minutes of calls</w:t>
            </w:r>
          </w:p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texts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1GB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Prepaid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$82.10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1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16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123BABC7" wp14:editId="1639BACD">
                  <wp:extent cx="757238" cy="244525"/>
                  <wp:effectExtent l="0" t="0" r="0" b="0"/>
                  <wp:docPr id="21" name="image40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8D" w:rsidRDefault="008F548D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Default="00085B5C">
      <w:pPr>
        <w:pStyle w:val="normal0"/>
        <w:contextualSpacing w:val="0"/>
      </w:pPr>
    </w:p>
    <w:p w:rsidR="00085B5C" w:rsidRPr="00085B5C" w:rsidRDefault="00085B5C">
      <w:pPr>
        <w:pStyle w:val="normal0"/>
        <w:contextualSpacing w:val="0"/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</w:rPr>
        <w:t>SIM only, 10GB+ data per month deals range from:</w:t>
      </w:r>
    </w:p>
    <w:tbl>
      <w:tblPr>
        <w:tblStyle w:val="a2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1357"/>
        <w:gridCol w:w="1575"/>
        <w:gridCol w:w="2025"/>
        <w:gridCol w:w="1357"/>
        <w:gridCol w:w="1357"/>
      </w:tblGrid>
      <w:tr w:rsidR="008F548D" w:rsidRPr="00085B5C"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57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per month</w:t>
            </w:r>
          </w:p>
        </w:tc>
        <w:tc>
          <w:tcPr>
            <w:tcW w:w="202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and texts per month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57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Prepaid or billed monthly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Virgin Mobile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 network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$60.00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proofErr w:type="gramStart"/>
            <w:r w:rsidRPr="00085B5C">
              <w:rPr>
                <w:rFonts w:eastAsia="Proxima Nova"/>
                <w:sz w:val="18"/>
                <w:szCs w:val="18"/>
              </w:rPr>
              <w:t>unlimited</w:t>
            </w:r>
            <w:proofErr w:type="gramEnd"/>
            <w:r w:rsidRPr="00085B5C">
              <w:rPr>
                <w:rFonts w:eastAsia="Proxima Nova"/>
                <w:sz w:val="18"/>
                <w:szCs w:val="18"/>
              </w:rPr>
              <w:t xml:space="preserve"> calls/texts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10GB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Billed monthly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Optus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 network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$80.00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proofErr w:type="gramStart"/>
            <w:r w:rsidRPr="00085B5C">
              <w:rPr>
                <w:rFonts w:eastAsia="Proxima Nova"/>
                <w:sz w:val="18"/>
                <w:szCs w:val="18"/>
              </w:rPr>
              <w:t>unlimited</w:t>
            </w:r>
            <w:proofErr w:type="gramEnd"/>
            <w:r w:rsidRPr="00085B5C">
              <w:rPr>
                <w:rFonts w:eastAsia="Proxima Nova"/>
                <w:sz w:val="18"/>
                <w:szCs w:val="18"/>
              </w:rPr>
              <w:t xml:space="preserve"> calls/texts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15GB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Billed monthly</w:t>
            </w:r>
          </w:p>
        </w:tc>
      </w:tr>
      <w:tr w:rsidR="008F548D" w:rsidRPr="00085B5C"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$20.00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3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18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3FC00537" wp14:editId="4494F868">
                  <wp:extent cx="757238" cy="244525"/>
                  <wp:effectExtent l="0" t="0" r="0" b="0"/>
                  <wp:docPr id="17" name="image36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</w:rPr>
        <w:t>Comparing some of the latest mobile phones by SIM-only deals and contracts, some of the differences in cost are hundreds of dollars. For instance, the cheapest deal</w:t>
      </w:r>
      <w:r w:rsidRPr="00085B5C">
        <w:rPr>
          <w:rFonts w:eastAsia="Proxima Nova"/>
        </w:rPr>
        <w:t xml:space="preserve">s for the Apple iPhone 6s Plus 128GB phone for plans with at least 3GB of data per month is $1,920 total cost over 24 months with a Virgin Mobile contract, compared to $2,277.75 over 24 months with a </w:t>
      </w:r>
      <w:proofErr w:type="spellStart"/>
      <w:r w:rsidRPr="00085B5C">
        <w:rPr>
          <w:rFonts w:eastAsia="Proxima Nova"/>
        </w:rPr>
        <w:t>Kogan</w:t>
      </w:r>
      <w:proofErr w:type="spellEnd"/>
      <w:r w:rsidRPr="00085B5C">
        <w:rPr>
          <w:rFonts w:eastAsia="Proxima Nova"/>
        </w:rPr>
        <w:t xml:space="preserve"> SIM (buying the phone outright for $1,529 RRP) – a</w:t>
      </w:r>
      <w:r w:rsidRPr="00085B5C">
        <w:rPr>
          <w:rFonts w:eastAsia="Proxima Nova"/>
        </w:rPr>
        <w:t xml:space="preserve"> difference of $357.75 over two years.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</w:rPr>
        <w:t>For the Samsung Galaxy S6 Edge 128GB phone, the difference between the cheapest contract and SIM-only deal with at least 3GB of monthly data is $85.75. Purchasing the handset for $1,449 (RRP), and a SIM-only plan for</w:t>
      </w:r>
      <w:r w:rsidRPr="00085B5C">
        <w:rPr>
          <w:rFonts w:eastAsia="Proxima Nova"/>
        </w:rPr>
        <w:t xml:space="preserve"> $29.95 per month from </w:t>
      </w:r>
      <w:proofErr w:type="spellStart"/>
      <w:r w:rsidRPr="00085B5C">
        <w:rPr>
          <w:rFonts w:eastAsia="Proxima Nova"/>
        </w:rPr>
        <w:t>Kogan</w:t>
      </w:r>
      <w:proofErr w:type="spellEnd"/>
      <w:r w:rsidRPr="00085B5C">
        <w:rPr>
          <w:rFonts w:eastAsia="Proxima Nova"/>
        </w:rPr>
        <w:t xml:space="preserve"> would cost $2,197.75 over two years. Compared to the cheapest 24-month contract with Optus, it would cost a minimum $2,112 over two years.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</w:rPr>
        <w:t>“The amount of money that some people are paying for their mobile is phenomenal and a r</w:t>
      </w:r>
      <w:r w:rsidRPr="00085B5C">
        <w:rPr>
          <w:rFonts w:eastAsia="Proxima Nova"/>
        </w:rPr>
        <w:t>eal waste, especially if they use more data than their plan allocates or have too much data than they need,” says Angus Kidman.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</w:rPr>
        <w:t>“When comparing contracts versus outright, it’s also important to consider the flexibility with a SIM-only plan. Most of the ti</w:t>
      </w:r>
      <w:r w:rsidRPr="00085B5C">
        <w:rPr>
          <w:rFonts w:eastAsia="Proxima Nova"/>
        </w:rPr>
        <w:t xml:space="preserve">me it will work out cheaper to buy a phone outright – unless you are a super heavy data user – and then you have the option to move around plans if your circumstances change or a better deal comes along. It’s difficult to do this when you’re locked into a </w:t>
      </w:r>
      <w:r w:rsidRPr="00085B5C">
        <w:rPr>
          <w:rFonts w:eastAsia="Proxima Nova"/>
        </w:rPr>
        <w:t>contract for two years.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</w:rPr>
        <w:t xml:space="preserve">“What’s really important is understanding what you need from your mobile phone and then finding the option that works best for you.” </w:t>
      </w:r>
    </w:p>
    <w:p w:rsidR="008F548D" w:rsidRDefault="008F548D">
      <w:pPr>
        <w:pStyle w:val="normal0"/>
        <w:spacing w:after="100"/>
        <w:contextualSpacing w:val="0"/>
      </w:pPr>
    </w:p>
    <w:p w:rsidR="00085B5C" w:rsidRDefault="00085B5C">
      <w:pPr>
        <w:pStyle w:val="normal0"/>
        <w:spacing w:after="100"/>
        <w:contextualSpacing w:val="0"/>
      </w:pPr>
    </w:p>
    <w:p w:rsidR="00085B5C" w:rsidRDefault="00085B5C">
      <w:pPr>
        <w:pStyle w:val="normal0"/>
        <w:spacing w:after="100"/>
        <w:contextualSpacing w:val="0"/>
      </w:pPr>
    </w:p>
    <w:p w:rsidR="00085B5C" w:rsidRDefault="00085B5C">
      <w:pPr>
        <w:pStyle w:val="normal0"/>
        <w:spacing w:after="100"/>
        <w:contextualSpacing w:val="0"/>
      </w:pPr>
    </w:p>
    <w:p w:rsidR="00085B5C" w:rsidRDefault="00085B5C">
      <w:pPr>
        <w:pStyle w:val="normal0"/>
        <w:spacing w:after="100"/>
        <w:contextualSpacing w:val="0"/>
      </w:pPr>
    </w:p>
    <w:p w:rsidR="00085B5C" w:rsidRPr="00085B5C" w:rsidRDefault="00085B5C">
      <w:pPr>
        <w:pStyle w:val="normal0"/>
        <w:spacing w:after="100"/>
        <w:contextualSpacing w:val="0"/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  <w:highlight w:val="white"/>
        </w:rPr>
        <w:lastRenderedPageBreak/>
        <w:t>Cheapest deals for Apple iPhone 6s 16GB with 3GB+ data per month:</w:t>
      </w:r>
    </w:p>
    <w:tbl>
      <w:tblPr>
        <w:tblStyle w:val="a4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261"/>
        <w:gridCol w:w="1650"/>
        <w:gridCol w:w="2025"/>
        <w:gridCol w:w="1364"/>
        <w:gridCol w:w="1364"/>
      </w:tblGrid>
      <w:tr w:rsidR="008F548D" w:rsidRPr="00085B5C"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65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over 24 months</w:t>
            </w:r>
          </w:p>
        </w:tc>
        <w:tc>
          <w:tcPr>
            <w:tcW w:w="202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and texts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Outright or 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proofErr w:type="spellStart"/>
            <w:r w:rsidRPr="00085B5C">
              <w:rPr>
                <w:rFonts w:eastAsia="Proxima Nova"/>
                <w:b/>
                <w:sz w:val="18"/>
                <w:szCs w:val="18"/>
              </w:rPr>
              <w:t>Kogan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Vodafone 3G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  <w:highlight w:val="white"/>
              </w:rPr>
              <w:t xml:space="preserve">$1,827.75 (phone $1,079 + </w:t>
            </w:r>
            <w:r w:rsidRPr="00085B5C">
              <w:rPr>
                <w:rFonts w:eastAsia="Proxima Nova"/>
                <w:sz w:val="18"/>
                <w:szCs w:val="18"/>
              </w:rPr>
              <w:t>$29.95/m)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3GB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Outright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Virgin Mobile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$1,896.00 (phone $19/m + plan $60/m)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4GB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$68.25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5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19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  <w:r w:rsidRPr="00085B5C">
              <w:rPr>
                <w:rFonts w:eastAsia="Proxima Nova"/>
                <w:sz w:val="16"/>
                <w:szCs w:val="16"/>
              </w:rPr>
              <w:t>, delivery not included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220A7710" wp14:editId="06866D05">
                  <wp:extent cx="757238" cy="244525"/>
                  <wp:effectExtent l="0" t="0" r="0" b="0"/>
                  <wp:docPr id="26" name="image45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B5C" w:rsidRDefault="00085B5C">
      <w:pPr>
        <w:pStyle w:val="normal0"/>
        <w:spacing w:after="100"/>
        <w:contextualSpacing w:val="0"/>
        <w:rPr>
          <w:rFonts w:eastAsia="Proxima Nova"/>
          <w:b/>
          <w:highlight w:val="white"/>
        </w:rPr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  <w:highlight w:val="white"/>
        </w:rPr>
        <w:t>Cheapest deals for Apple iPhone 6s Plus 128GB with 3GB+ data per month:</w:t>
      </w:r>
    </w:p>
    <w:tbl>
      <w:tblPr>
        <w:tblStyle w:val="a6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261"/>
        <w:gridCol w:w="1650"/>
        <w:gridCol w:w="2025"/>
        <w:gridCol w:w="1364"/>
        <w:gridCol w:w="1364"/>
      </w:tblGrid>
      <w:tr w:rsidR="008F548D" w:rsidRPr="00085B5C"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65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over 24 months</w:t>
            </w:r>
          </w:p>
        </w:tc>
        <w:tc>
          <w:tcPr>
            <w:tcW w:w="202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and texts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Outright or 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Virgin Mobile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$1,920 (phone $25/m + plan $80/m)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7GB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proofErr w:type="spellStart"/>
            <w:r w:rsidRPr="00085B5C">
              <w:rPr>
                <w:rFonts w:eastAsia="Proxima Nova"/>
                <w:b/>
                <w:sz w:val="18"/>
                <w:szCs w:val="18"/>
              </w:rPr>
              <w:t>Kogan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Vodafone 3G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$2,277.75 (phone $1,529 + plan $29.95/m)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3GB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Outright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$357.75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7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20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  <w:r w:rsidRPr="00085B5C">
              <w:rPr>
                <w:rFonts w:eastAsia="Proxima Nova"/>
                <w:sz w:val="16"/>
                <w:szCs w:val="16"/>
              </w:rPr>
              <w:t>, delivery not included, handset based on RRP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6E1101E0" wp14:editId="1D81DCE6">
                  <wp:extent cx="757238" cy="244525"/>
                  <wp:effectExtent l="0" t="0" r="0" b="0"/>
                  <wp:docPr id="12" name="image31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8D" w:rsidRPr="00085B5C" w:rsidRDefault="008F548D">
      <w:pPr>
        <w:pStyle w:val="normal0"/>
        <w:contextualSpacing w:val="0"/>
      </w:pPr>
    </w:p>
    <w:p w:rsidR="00085B5C" w:rsidRDefault="00085B5C">
      <w:pPr>
        <w:pStyle w:val="normal0"/>
        <w:spacing w:after="100"/>
        <w:contextualSpacing w:val="0"/>
        <w:rPr>
          <w:rFonts w:eastAsia="Proxima Nova"/>
          <w:b/>
          <w:highlight w:val="white"/>
        </w:rPr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  <w:highlight w:val="white"/>
        </w:rPr>
        <w:t>Cheapest deals for Samsung Galaxy S6 32GB with 3GB+ data per month:</w:t>
      </w:r>
    </w:p>
    <w:tbl>
      <w:tblPr>
        <w:tblStyle w:val="a8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261"/>
        <w:gridCol w:w="1650"/>
        <w:gridCol w:w="2025"/>
        <w:gridCol w:w="1364"/>
        <w:gridCol w:w="1364"/>
      </w:tblGrid>
      <w:tr w:rsidR="008F548D" w:rsidRPr="00085B5C"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65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over 24 months</w:t>
            </w:r>
          </w:p>
        </w:tc>
        <w:tc>
          <w:tcPr>
            <w:tcW w:w="202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and texts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Outright or 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proofErr w:type="spellStart"/>
            <w:r w:rsidRPr="00085B5C">
              <w:rPr>
                <w:rFonts w:eastAsia="Proxima Nova"/>
                <w:b/>
                <w:sz w:val="18"/>
                <w:szCs w:val="18"/>
              </w:rPr>
              <w:t>Kogan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Vodafone 3G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$1,647.75 (phone $899 + plan $29.95/m)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3GB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Outright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Virgin Mobile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Vodafone 4G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$1,656 (phone $9/m + plan $60/m)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4GB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$8.25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9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21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  <w:r w:rsidRPr="00085B5C">
              <w:rPr>
                <w:rFonts w:eastAsia="Proxima Nova"/>
                <w:sz w:val="16"/>
                <w:szCs w:val="16"/>
              </w:rPr>
              <w:t>, delivery not included, handset based on RRP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1A041409" wp14:editId="298164C1">
                  <wp:extent cx="757238" cy="244525"/>
                  <wp:effectExtent l="0" t="0" r="0" b="0"/>
                  <wp:docPr id="7" name="image26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8D" w:rsidRPr="00085B5C" w:rsidRDefault="008F548D">
      <w:pPr>
        <w:pStyle w:val="normal0"/>
        <w:contextualSpacing w:val="0"/>
      </w:pPr>
    </w:p>
    <w:p w:rsidR="00085B5C" w:rsidRDefault="00085B5C">
      <w:pPr>
        <w:pStyle w:val="normal0"/>
        <w:spacing w:after="100"/>
        <w:contextualSpacing w:val="0"/>
        <w:rPr>
          <w:rFonts w:eastAsia="Proxima Nova"/>
          <w:b/>
          <w:highlight w:val="white"/>
        </w:rPr>
      </w:pPr>
    </w:p>
    <w:p w:rsidR="00085B5C" w:rsidRDefault="00085B5C">
      <w:pPr>
        <w:pStyle w:val="normal0"/>
        <w:spacing w:after="100"/>
        <w:contextualSpacing w:val="0"/>
        <w:rPr>
          <w:rFonts w:eastAsia="Proxima Nova"/>
          <w:b/>
          <w:highlight w:val="white"/>
        </w:rPr>
      </w:pPr>
    </w:p>
    <w:p w:rsidR="008F548D" w:rsidRPr="00085B5C" w:rsidRDefault="00085B5C">
      <w:pPr>
        <w:pStyle w:val="normal0"/>
        <w:spacing w:after="100"/>
        <w:contextualSpacing w:val="0"/>
      </w:pPr>
      <w:r w:rsidRPr="00085B5C">
        <w:rPr>
          <w:rFonts w:eastAsia="Proxima Nova"/>
          <w:b/>
          <w:highlight w:val="white"/>
        </w:rPr>
        <w:lastRenderedPageBreak/>
        <w:t>Cheapest deals for Samsung Galaxy S6 Edge 128GB with 3GB+ data per month:</w:t>
      </w:r>
    </w:p>
    <w:tbl>
      <w:tblPr>
        <w:tblStyle w:val="aa"/>
        <w:tblW w:w="9029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261"/>
        <w:gridCol w:w="1650"/>
        <w:gridCol w:w="2025"/>
        <w:gridCol w:w="1364"/>
        <w:gridCol w:w="1364"/>
      </w:tblGrid>
      <w:tr w:rsidR="008F548D" w:rsidRPr="00085B5C"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Network</w:t>
            </w:r>
          </w:p>
        </w:tc>
        <w:tc>
          <w:tcPr>
            <w:tcW w:w="1650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Price over 24 months</w:t>
            </w:r>
          </w:p>
        </w:tc>
        <w:tc>
          <w:tcPr>
            <w:tcW w:w="2025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Included calls an</w:t>
            </w:r>
            <w:r w:rsidRPr="00085B5C">
              <w:rPr>
                <w:rFonts w:eastAsia="Proxima Nova"/>
                <w:b/>
                <w:sz w:val="18"/>
                <w:szCs w:val="18"/>
              </w:rPr>
              <w:t>d texts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Data per month</w:t>
            </w:r>
          </w:p>
        </w:tc>
        <w:tc>
          <w:tcPr>
            <w:tcW w:w="1364" w:type="dxa"/>
            <w:shd w:val="clear" w:color="auto" w:fill="E0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b/>
                <w:sz w:val="18"/>
                <w:szCs w:val="18"/>
              </w:rPr>
              <w:t>Outright or 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proofErr w:type="spellStart"/>
            <w:r w:rsidRPr="00085B5C">
              <w:rPr>
                <w:rFonts w:eastAsia="Proxima Nova"/>
                <w:b/>
                <w:sz w:val="18"/>
                <w:szCs w:val="18"/>
              </w:rPr>
              <w:t>Kogan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Vodafone 3G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$2,197.75 (phone $1,449 + plan $29.95/m)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3GB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Outright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Optus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Optus 4G network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$2,112 (phone $28/m + $60/m)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Unlimited calls/texts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3GB</w:t>
            </w: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Contract</w:t>
            </w:r>
          </w:p>
        </w:tc>
      </w:tr>
      <w:tr w:rsidR="008F548D" w:rsidRPr="00085B5C"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b/>
                <w:sz w:val="18"/>
                <w:szCs w:val="18"/>
              </w:rPr>
              <w:t>Difference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rFonts w:eastAsia="Proxima Nova"/>
                <w:sz w:val="18"/>
                <w:szCs w:val="18"/>
              </w:rPr>
              <w:t>$85.75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8F548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b"/>
        <w:tblW w:w="8970" w:type="dxa"/>
        <w:tblLayout w:type="fixed"/>
        <w:tblLook w:val="0600" w:firstRow="0" w:lastRow="0" w:firstColumn="0" w:lastColumn="0" w:noHBand="1" w:noVBand="1"/>
      </w:tblPr>
      <w:tblGrid>
        <w:gridCol w:w="7575"/>
        <w:gridCol w:w="1395"/>
      </w:tblGrid>
      <w:tr w:rsidR="008F548D" w:rsidRPr="00085B5C">
        <w:tc>
          <w:tcPr>
            <w:tcW w:w="757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r w:rsidRPr="00085B5C">
              <w:rPr>
                <w:rFonts w:eastAsia="Proxima Nova"/>
                <w:sz w:val="16"/>
                <w:szCs w:val="16"/>
              </w:rPr>
              <w:t xml:space="preserve">Source: </w:t>
            </w:r>
            <w:hyperlink r:id="rId22">
              <w:r w:rsidRPr="00085B5C">
                <w:rPr>
                  <w:rFonts w:eastAsia="Proxima Nova"/>
                  <w:color w:val="1155CC"/>
                  <w:sz w:val="16"/>
                  <w:szCs w:val="16"/>
                  <w:u w:val="single"/>
                </w:rPr>
                <w:t>finder.com.au/mobile-plans</w:t>
              </w:r>
            </w:hyperlink>
            <w:r w:rsidRPr="00085B5C">
              <w:rPr>
                <w:rFonts w:eastAsia="Proxima Nova"/>
                <w:sz w:val="16"/>
                <w:szCs w:val="16"/>
              </w:rPr>
              <w:t>, delivery not included, handset based on RRP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ind w:left="105" w:right="-15"/>
              <w:contextualSpacing w:val="0"/>
              <w:jc w:val="right"/>
            </w:pPr>
            <w:r w:rsidRPr="00085B5C">
              <w:rPr>
                <w:noProof/>
                <w:lang w:val="en-US"/>
              </w:rPr>
              <w:drawing>
                <wp:inline distT="0" distB="0" distL="0" distR="0" wp14:anchorId="6402FE87" wp14:editId="61EB66A5">
                  <wp:extent cx="757238" cy="244525"/>
                  <wp:effectExtent l="0" t="0" r="0" b="0"/>
                  <wp:docPr id="16" name="image35.png" descr="FIN_Logo_500x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FIN_Logo_500x16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24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8D" w:rsidRPr="00085B5C" w:rsidRDefault="008F548D">
      <w:pPr>
        <w:pStyle w:val="normal0"/>
        <w:contextualSpacing w:val="0"/>
      </w:pPr>
    </w:p>
    <w:p w:rsidR="008F548D" w:rsidRDefault="008F548D" w:rsidP="00085B5C">
      <w:pPr>
        <w:pStyle w:val="normal0"/>
        <w:contextualSpacing w:val="0"/>
      </w:pPr>
    </w:p>
    <w:p w:rsidR="00085B5C" w:rsidRPr="00085B5C" w:rsidRDefault="00085B5C" w:rsidP="00085B5C">
      <w:pPr>
        <w:pStyle w:val="normal0"/>
        <w:contextualSpacing w:val="0"/>
      </w:pP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b/>
          <w:color w:val="777777"/>
          <w:sz w:val="28"/>
          <w:szCs w:val="28"/>
        </w:rPr>
        <w:t>###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color w:val="777777"/>
        </w:rPr>
        <w:t xml:space="preserve">We now have </w:t>
      </w:r>
      <w:proofErr w:type="gramStart"/>
      <w:r w:rsidRPr="00085B5C">
        <w:rPr>
          <w:color w:val="777777"/>
        </w:rPr>
        <w:t>a news</w:t>
      </w:r>
      <w:proofErr w:type="gramEnd"/>
      <w:r w:rsidRPr="00085B5C">
        <w:rPr>
          <w:color w:val="777777"/>
        </w:rPr>
        <w:t xml:space="preserve"> feed on Twitter! Follow us for the latest updates or drop us a line to say hi: @</w:t>
      </w:r>
      <w:proofErr w:type="spellStart"/>
      <w:r w:rsidRPr="00085B5C">
        <w:rPr>
          <w:color w:val="777777"/>
        </w:rPr>
        <w:t>finder_news</w:t>
      </w:r>
      <w:proofErr w:type="spellEnd"/>
      <w:r w:rsidRPr="00085B5C">
        <w:rPr>
          <w:color w:val="777777"/>
        </w:rPr>
        <w:t>.</w:t>
      </w:r>
    </w:p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</w:pPr>
      <w:r w:rsidRPr="00085B5C">
        <w:rPr>
          <w:rFonts w:eastAsia="Proxima Nova"/>
          <w:b/>
          <w:color w:val="777777"/>
          <w:sz w:val="28"/>
          <w:szCs w:val="28"/>
        </w:rPr>
        <w:t>For further information:</w:t>
      </w:r>
    </w:p>
    <w:tbl>
      <w:tblPr>
        <w:tblStyle w:val="ae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05"/>
        <w:gridCol w:w="1650"/>
        <w:gridCol w:w="2910"/>
      </w:tblGrid>
      <w:tr w:rsidR="008F548D" w:rsidRPr="00085B5C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2EE76CE0" wp14:editId="7F488AD0">
                  <wp:extent cx="785813" cy="874925"/>
                  <wp:effectExtent l="0" t="0" r="0" b="0"/>
                  <wp:docPr id="22" name="image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87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b/>
                <w:color w:val="777777"/>
                <w:sz w:val="20"/>
                <w:szCs w:val="20"/>
              </w:rPr>
              <w:t>Michelle Hutchison</w:t>
            </w:r>
          </w:p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color w:val="777777"/>
                <w:sz w:val="20"/>
                <w:szCs w:val="20"/>
              </w:rPr>
              <w:t>Head of PR &amp; Money Expert</w:t>
            </w:r>
          </w:p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color w:val="777777"/>
                <w:sz w:val="20"/>
                <w:szCs w:val="20"/>
              </w:rPr>
              <w:t>+61403 192 994</w:t>
            </w:r>
          </w:p>
          <w:p w:rsidR="008F548D" w:rsidRPr="00085B5C" w:rsidRDefault="00085B5C">
            <w:pPr>
              <w:pStyle w:val="Heading4"/>
              <w:spacing w:before="0"/>
              <w:contextualSpacing w:val="0"/>
              <w:rPr>
                <w:rFonts w:ascii="Arial" w:hAnsi="Arial" w:cs="Arial"/>
              </w:rPr>
            </w:pPr>
            <w:bookmarkStart w:id="0" w:name="h.ylu2s8r5z1hh" w:colFirst="0" w:colLast="0"/>
            <w:bookmarkEnd w:id="0"/>
            <w:r w:rsidRPr="00085B5C">
              <w:rPr>
                <w:rFonts w:ascii="Arial" w:eastAsia="Proxima Nova" w:hAnsi="Arial" w:cs="Arial"/>
                <w:color w:val="777777"/>
                <w:sz w:val="20"/>
                <w:szCs w:val="20"/>
                <w:u w:val="none"/>
              </w:rPr>
              <w:t>+61 1300 FINDER (346 337)</w:t>
            </w:r>
          </w:p>
          <w:p w:rsidR="008F548D" w:rsidRPr="00085B5C" w:rsidRDefault="00085B5C">
            <w:pPr>
              <w:pStyle w:val="normal0"/>
              <w:ind w:left="20"/>
              <w:contextualSpacing w:val="0"/>
            </w:pPr>
            <w:hyperlink r:id="rId24">
              <w:r w:rsidRPr="00085B5C">
                <w:rPr>
                  <w:rFonts w:eastAsia="Proxima Nova"/>
                  <w:color w:val="777777"/>
                  <w:sz w:val="20"/>
                  <w:szCs w:val="20"/>
                  <w:u w:val="single"/>
                </w:rPr>
                <w:t>Michelle@finder.com.au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1D024BAB" wp14:editId="7C1DAD91">
                  <wp:extent cx="785813" cy="870007"/>
                  <wp:effectExtent l="0" t="0" r="0" b="0"/>
                  <wp:docPr id="6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5"/>
                          <a:srcRect b="26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870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b/>
                <w:color w:val="777777"/>
                <w:sz w:val="20"/>
                <w:szCs w:val="20"/>
              </w:rPr>
              <w:t>Bessie Hassan</w:t>
            </w:r>
          </w:p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color w:val="777777"/>
                <w:sz w:val="20"/>
                <w:szCs w:val="20"/>
              </w:rPr>
              <w:t>PR Manager</w:t>
            </w:r>
            <w:r>
              <w:rPr>
                <w:rFonts w:eastAsia="Proxima Nova"/>
                <w:color w:val="777777"/>
                <w:sz w:val="20"/>
                <w:szCs w:val="20"/>
              </w:rPr>
              <w:t xml:space="preserve"> &amp; Consumer Advocate</w:t>
            </w:r>
            <w:bookmarkStart w:id="1" w:name="_GoBack"/>
            <w:bookmarkEnd w:id="1"/>
          </w:p>
          <w:p w:rsidR="008F548D" w:rsidRPr="00085B5C" w:rsidRDefault="00085B5C">
            <w:pPr>
              <w:pStyle w:val="normal0"/>
              <w:contextualSpacing w:val="0"/>
            </w:pPr>
            <w:r w:rsidRPr="00085B5C">
              <w:rPr>
                <w:rFonts w:eastAsia="Proxima Nova"/>
                <w:color w:val="777777"/>
                <w:sz w:val="20"/>
                <w:szCs w:val="20"/>
              </w:rPr>
              <w:t>+61402 567 568</w:t>
            </w:r>
          </w:p>
          <w:p w:rsidR="008F548D" w:rsidRPr="00085B5C" w:rsidRDefault="00085B5C">
            <w:pPr>
              <w:pStyle w:val="Heading4"/>
              <w:spacing w:before="0"/>
              <w:contextualSpacing w:val="0"/>
              <w:rPr>
                <w:rFonts w:ascii="Arial" w:hAnsi="Arial" w:cs="Arial"/>
              </w:rPr>
            </w:pPr>
            <w:bookmarkStart w:id="2" w:name="h.niaybzusip24" w:colFirst="0" w:colLast="0"/>
            <w:bookmarkEnd w:id="2"/>
            <w:r w:rsidRPr="00085B5C">
              <w:rPr>
                <w:rFonts w:ascii="Arial" w:eastAsia="Proxima Nova" w:hAnsi="Arial" w:cs="Arial"/>
                <w:color w:val="777777"/>
                <w:sz w:val="20"/>
                <w:szCs w:val="20"/>
                <w:u w:val="none"/>
              </w:rPr>
              <w:t>+61 1300 FINDER (346 337)</w:t>
            </w:r>
          </w:p>
          <w:p w:rsidR="008F548D" w:rsidRPr="00085B5C" w:rsidRDefault="00085B5C">
            <w:pPr>
              <w:pStyle w:val="normal0"/>
              <w:ind w:left="20"/>
              <w:contextualSpacing w:val="0"/>
            </w:pPr>
            <w:hyperlink r:id="rId26">
              <w:r w:rsidRPr="00085B5C">
                <w:rPr>
                  <w:rFonts w:eastAsia="Proxima Nova"/>
                  <w:color w:val="777777"/>
                  <w:sz w:val="20"/>
                  <w:szCs w:val="20"/>
                  <w:u w:val="single"/>
                </w:rPr>
                <w:t>Bessie@finder.com.</w:t>
              </w:r>
            </w:hyperlink>
            <w:hyperlink r:id="rId27">
              <w:proofErr w:type="gramStart"/>
              <w:r w:rsidRPr="00085B5C">
                <w:rPr>
                  <w:rFonts w:eastAsia="Proxima Nova"/>
                  <w:color w:val="777777"/>
                  <w:sz w:val="20"/>
                  <w:szCs w:val="20"/>
                  <w:u w:val="single"/>
                </w:rPr>
                <w:t>au</w:t>
              </w:r>
              <w:proofErr w:type="gramEnd"/>
            </w:hyperlink>
          </w:p>
        </w:tc>
      </w:tr>
    </w:tbl>
    <w:p w:rsidR="008F548D" w:rsidRPr="00085B5C" w:rsidRDefault="008F548D">
      <w:pPr>
        <w:pStyle w:val="normal0"/>
        <w:contextualSpacing w:val="0"/>
      </w:pPr>
    </w:p>
    <w:tbl>
      <w:tblPr>
        <w:tblStyle w:val="af"/>
        <w:tblW w:w="10485" w:type="dxa"/>
        <w:tblInd w:w="-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035"/>
        <w:gridCol w:w="975"/>
        <w:gridCol w:w="1050"/>
        <w:gridCol w:w="930"/>
        <w:gridCol w:w="1035"/>
        <w:gridCol w:w="1005"/>
        <w:gridCol w:w="1110"/>
        <w:gridCol w:w="945"/>
        <w:gridCol w:w="1455"/>
      </w:tblGrid>
      <w:tr w:rsidR="008F548D" w:rsidRPr="00085B5C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19989AB3" wp14:editId="0E7384CB">
                  <wp:extent cx="428625" cy="317500"/>
                  <wp:effectExtent l="0" t="0" r="0" b="0"/>
                  <wp:docPr id="1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hyperlink r:id="rId29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>Credit Cards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00BA2954" wp14:editId="00D03D3B">
                  <wp:extent cx="428625" cy="254000"/>
                  <wp:effectExtent l="0" t="0" r="0" b="0"/>
                  <wp:docPr id="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hyperlink r:id="rId31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>Loans &amp; Savings</w:t>
              </w:r>
            </w:hyperlink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4FC9BF60" wp14:editId="09BF9B08">
                  <wp:extent cx="428625" cy="317500"/>
                  <wp:effectExtent l="0" t="0" r="0" b="0"/>
                  <wp:docPr id="15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hyperlink r:id="rId33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16AB4246" wp14:editId="431A2C08">
                  <wp:extent cx="290945" cy="300038"/>
                  <wp:effectExtent l="0" t="0" r="0" b="0"/>
                  <wp:docPr id="11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hyperlink r:id="rId35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>Electricity &amp; Gas</w:t>
              </w:r>
            </w:hyperlink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  <w:jc w:val="center"/>
            </w:pPr>
            <w:r w:rsidRPr="00085B5C">
              <w:rPr>
                <w:noProof/>
                <w:lang w:val="en-US"/>
              </w:rPr>
              <w:drawing>
                <wp:inline distT="114300" distB="114300" distL="114300" distR="114300" wp14:anchorId="5E17F603" wp14:editId="5845B964">
                  <wp:extent cx="428625" cy="317500"/>
                  <wp:effectExtent l="0" t="0" r="0" b="0"/>
                  <wp:docPr id="25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48D" w:rsidRPr="00085B5C" w:rsidRDefault="00085B5C">
            <w:pPr>
              <w:pStyle w:val="normal0"/>
              <w:spacing w:line="240" w:lineRule="auto"/>
              <w:contextualSpacing w:val="0"/>
            </w:pPr>
            <w:hyperlink r:id="rId37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 xml:space="preserve">Shopping </w:t>
              </w:r>
            </w:hyperlink>
            <w:hyperlink r:id="rId38">
              <w:r w:rsidRPr="00085B5C">
                <w:rPr>
                  <w:rFonts w:eastAsia="Proxima Nova"/>
                  <w:color w:val="777777"/>
                  <w:sz w:val="18"/>
                  <w:szCs w:val="18"/>
                </w:rPr>
                <w:t>Deals</w:t>
              </w:r>
            </w:hyperlink>
          </w:p>
        </w:tc>
      </w:tr>
    </w:tbl>
    <w:p w:rsidR="008F548D" w:rsidRPr="00085B5C" w:rsidRDefault="008F548D">
      <w:pPr>
        <w:pStyle w:val="normal0"/>
        <w:contextualSpacing w:val="0"/>
      </w:pPr>
    </w:p>
    <w:p w:rsidR="008F548D" w:rsidRPr="00085B5C" w:rsidRDefault="00085B5C">
      <w:pPr>
        <w:pStyle w:val="normal0"/>
        <w:contextualSpacing w:val="0"/>
        <w:jc w:val="center"/>
      </w:pPr>
      <w:hyperlink r:id="rId39">
        <w:r w:rsidRPr="00085B5C">
          <w:rPr>
            <w:rFonts w:eastAsia="Proxima Nova"/>
            <w:color w:val="777777"/>
            <w:u w:val="single"/>
          </w:rPr>
          <w:t>Privacy Policy</w:t>
        </w:r>
      </w:hyperlink>
      <w:r w:rsidRPr="00085B5C">
        <w:rPr>
          <w:rFonts w:eastAsia="Proxima Nova"/>
          <w:color w:val="777777"/>
        </w:rPr>
        <w:t xml:space="preserve"> | </w:t>
      </w:r>
      <w:hyperlink r:id="rId40">
        <w:proofErr w:type="gramStart"/>
        <w:r w:rsidRPr="00085B5C">
          <w:rPr>
            <w:rFonts w:eastAsia="Proxima Nova"/>
            <w:color w:val="777777"/>
            <w:u w:val="single"/>
          </w:rPr>
          <w:t>About</w:t>
        </w:r>
        <w:proofErr w:type="gramEnd"/>
        <w:r w:rsidRPr="00085B5C">
          <w:rPr>
            <w:rFonts w:eastAsia="Proxima Nova"/>
            <w:color w:val="777777"/>
            <w:u w:val="single"/>
          </w:rPr>
          <w:t xml:space="preserve"> finder.com.au</w:t>
        </w:r>
      </w:hyperlink>
      <w:r w:rsidRPr="00085B5C">
        <w:rPr>
          <w:rFonts w:eastAsia="Proxima Nova"/>
          <w:color w:val="777777"/>
        </w:rPr>
        <w:t xml:space="preserve"> | </w:t>
      </w:r>
      <w:hyperlink r:id="rId41">
        <w:r w:rsidRPr="00085B5C">
          <w:rPr>
            <w:rFonts w:eastAsia="Proxima Nova"/>
            <w:color w:val="777777"/>
            <w:u w:val="single"/>
          </w:rPr>
          <w:t>Contact Us</w:t>
        </w:r>
      </w:hyperlink>
      <w:r w:rsidRPr="00085B5C">
        <w:rPr>
          <w:rFonts w:eastAsia="Proxima Nova"/>
          <w:color w:val="777777"/>
        </w:rPr>
        <w:t xml:space="preserve"> | </w:t>
      </w:r>
      <w:hyperlink r:id="rId42">
        <w:r w:rsidRPr="00085B5C">
          <w:rPr>
            <w:rFonts w:eastAsia="Proxima Nova"/>
            <w:color w:val="777777"/>
            <w:u w:val="single"/>
          </w:rPr>
          <w:t xml:space="preserve">Media </w:t>
        </w:r>
      </w:hyperlink>
      <w:hyperlink r:id="rId43">
        <w:r w:rsidRPr="00085B5C">
          <w:rPr>
            <w:rFonts w:eastAsia="Proxima Nova"/>
            <w:color w:val="777777"/>
            <w:u w:val="single"/>
          </w:rPr>
          <w:t>Room</w:t>
        </w:r>
      </w:hyperlink>
    </w:p>
    <w:p w:rsidR="008F548D" w:rsidRPr="00085B5C" w:rsidRDefault="008F548D">
      <w:pPr>
        <w:pStyle w:val="normal0"/>
        <w:contextualSpacing w:val="0"/>
      </w:pPr>
    </w:p>
    <w:p w:rsidR="008F548D" w:rsidRPr="00085B5C" w:rsidRDefault="008F548D">
      <w:pPr>
        <w:pStyle w:val="normal0"/>
        <w:contextualSpacing w:val="0"/>
      </w:pPr>
    </w:p>
    <w:sectPr w:rsidR="008F548D" w:rsidRPr="00085B5C">
      <w:headerReference w:type="default" r:id="rId44"/>
      <w:headerReference w:type="first" r:id="rId45"/>
      <w:footerReference w:type="first" r:id="rId4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B5C">
      <w:pPr>
        <w:spacing w:line="240" w:lineRule="auto"/>
      </w:pPr>
      <w:r>
        <w:separator/>
      </w:r>
    </w:p>
  </w:endnote>
  <w:endnote w:type="continuationSeparator" w:id="0">
    <w:p w:rsidR="00000000" w:rsidRDefault="0008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D" w:rsidRDefault="008F548D">
    <w:pPr>
      <w:pStyle w:val="normal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5B5C">
      <w:pPr>
        <w:spacing w:line="240" w:lineRule="auto"/>
      </w:pPr>
      <w:r>
        <w:separator/>
      </w:r>
    </w:p>
  </w:footnote>
  <w:footnote w:type="continuationSeparator" w:id="0">
    <w:p w:rsidR="00000000" w:rsidRDefault="00085B5C">
      <w:pPr>
        <w:spacing w:line="240" w:lineRule="auto"/>
      </w:pPr>
      <w:r>
        <w:continuationSeparator/>
      </w:r>
    </w:p>
  </w:footnote>
  <w:footnote w:id="1">
    <w:p w:rsidR="008F548D" w:rsidRDefault="00085B5C">
      <w:pPr>
        <w:pStyle w:val="normal0"/>
        <w:spacing w:line="240" w:lineRule="auto"/>
        <w:ind w:left="20"/>
        <w:contextualSpacing w:val="0"/>
      </w:pPr>
      <w:r>
        <w:rPr>
          <w:vertAlign w:val="superscript"/>
        </w:rPr>
        <w:footnoteRef/>
      </w:r>
      <w:r>
        <w:rPr>
          <w:color w:val="777777"/>
          <w:sz w:val="18"/>
          <w:szCs w:val="18"/>
        </w:rPr>
        <w:t xml:space="preserve"> Based on Experian </w:t>
      </w:r>
      <w:proofErr w:type="spellStart"/>
      <w:r>
        <w:rPr>
          <w:color w:val="777777"/>
          <w:sz w:val="18"/>
          <w:szCs w:val="18"/>
        </w:rPr>
        <w:t>Hitwise</w:t>
      </w:r>
      <w:proofErr w:type="spellEnd"/>
      <w:r>
        <w:rPr>
          <w:color w:val="777777"/>
          <w:sz w:val="18"/>
          <w:szCs w:val="18"/>
        </w:rPr>
        <w:t>, since 2013</w:t>
      </w:r>
    </w:p>
  </w:footnote>
  <w:footnote w:id="2">
    <w:p w:rsidR="008F548D" w:rsidRDefault="00085B5C">
      <w:pPr>
        <w:pStyle w:val="normal0"/>
        <w:spacing w:line="240" w:lineRule="auto"/>
        <w:contextualSpacing w:val="0"/>
      </w:pPr>
      <w:r>
        <w:rPr>
          <w:vertAlign w:val="superscript"/>
        </w:rPr>
        <w:footnoteRef/>
      </w:r>
      <w:r>
        <w:rPr>
          <w:color w:val="666666"/>
          <w:sz w:val="18"/>
          <w:szCs w:val="18"/>
        </w:rPr>
        <w:t xml:space="preserve"> Source: Google Trends</w:t>
      </w:r>
    </w:p>
  </w:footnote>
  <w:footnote w:id="3">
    <w:p w:rsidR="008F548D" w:rsidRDefault="00085B5C">
      <w:pPr>
        <w:pStyle w:val="normal0"/>
        <w:spacing w:line="240" w:lineRule="auto"/>
        <w:contextualSpacing w:val="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666666"/>
          <w:sz w:val="18"/>
          <w:szCs w:val="18"/>
        </w:rPr>
        <w:t>Source: ACMA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D" w:rsidRDefault="008F548D">
    <w:pPr>
      <w:pStyle w:val="normal0"/>
      <w:contextualSpacing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D" w:rsidRDefault="008F548D">
    <w:pPr>
      <w:pStyle w:val="normal0"/>
      <w:spacing w:line="240" w:lineRule="auto"/>
      <w:contextualSpacing w:val="0"/>
    </w:pPr>
  </w:p>
  <w:tbl>
    <w:tblPr>
      <w:tblStyle w:val="af1"/>
      <w:tblW w:w="11895" w:type="dxa"/>
      <w:tblInd w:w="-1440" w:type="dxa"/>
      <w:tblLayout w:type="fixed"/>
      <w:tblLook w:val="0600" w:firstRow="0" w:lastRow="0" w:firstColumn="0" w:lastColumn="0" w:noHBand="1" w:noVBand="1"/>
    </w:tblPr>
    <w:tblGrid>
      <w:gridCol w:w="11895"/>
    </w:tblGrid>
    <w:tr w:rsidR="008F548D">
      <w:trPr>
        <w:trHeight w:val="74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F548D" w:rsidRDefault="008F548D">
          <w:pPr>
            <w:pStyle w:val="normal0"/>
            <w:spacing w:line="240" w:lineRule="auto"/>
            <w:ind w:right="1305"/>
            <w:contextualSpacing w:val="0"/>
          </w:pPr>
        </w:p>
      </w:tc>
    </w:tr>
    <w:tr w:rsidR="008F548D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F548D" w:rsidRDefault="00085B5C">
          <w:pPr>
            <w:pStyle w:val="normal0"/>
            <w:spacing w:line="240" w:lineRule="auto"/>
            <w:ind w:right="1305"/>
            <w:contextualSpacing w:val="0"/>
          </w:pPr>
          <w:r>
            <w:t xml:space="preserve">      </w:t>
          </w:r>
          <w:r>
            <w:rPr>
              <w:noProof/>
              <w:lang w:val="en-US"/>
            </w:rPr>
            <w:drawing>
              <wp:inline distT="0" distB="0" distL="0" distR="0">
                <wp:extent cx="1789635" cy="576263"/>
                <wp:effectExtent l="0" t="0" r="0" b="0"/>
                <wp:docPr id="14" name="image33.png" descr="FIN_Logo_500x16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 descr="FIN_Logo_500x16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635" cy="576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</w:t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20" name="image39.png" descr="icon_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 descr="icon_facebook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23" name="image42.png" descr="icon_gplu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 descr="icon_gplus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4" name="image14.png" descr="icon_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 descr="icon_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" name="image11.png" descr="icon_twitternew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 descr="icon_twitternews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27" name="image46.png" descr="icon_linkedi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 descr="icon_linkedin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9" name="image38.png" descr="icon_pinteres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 descr="icon_pinterest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3" name="image13.png" descr="icon_instagra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 descr="icon_instagram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F548D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shd w:val="clear" w:color="auto" w:fill="18304B"/>
          <w:tcMar>
            <w:top w:w="100" w:type="dxa"/>
            <w:left w:w="100" w:type="dxa"/>
            <w:bottom w:w="100" w:type="dxa"/>
            <w:right w:w="100" w:type="dxa"/>
          </w:tcMar>
        </w:tcPr>
        <w:p w:rsidR="008F548D" w:rsidRDefault="00085B5C">
          <w:pPr>
            <w:pStyle w:val="normal0"/>
            <w:spacing w:before="200" w:after="120" w:line="240" w:lineRule="auto"/>
            <w:ind w:left="30" w:right="1305"/>
            <w:contextualSpacing w:val="0"/>
            <w:jc w:val="right"/>
          </w:pPr>
          <w:r>
            <w:rPr>
              <w:b/>
              <w:color w:val="FFFFFF"/>
              <w:sz w:val="24"/>
              <w:szCs w:val="24"/>
            </w:rPr>
            <w:t>PRESS RELEASE</w:t>
          </w:r>
        </w:p>
      </w:tc>
    </w:tr>
    <w:tr w:rsidR="008F548D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shd w:val="clear" w:color="auto" w:fill="1591FE"/>
          <w:tcMar>
            <w:left w:w="0" w:type="dxa"/>
            <w:right w:w="0" w:type="dxa"/>
          </w:tcMar>
        </w:tcPr>
        <w:p w:rsidR="008F548D" w:rsidRDefault="00085B5C">
          <w:pPr>
            <w:pStyle w:val="normal0"/>
            <w:spacing w:line="240" w:lineRule="auto"/>
            <w:ind w:left="30" w:right="1305"/>
            <w:contextualSpacing w:val="0"/>
            <w:jc w:val="right"/>
          </w:pPr>
          <w:r>
            <w:rPr>
              <w:sz w:val="12"/>
              <w:szCs w:val="12"/>
            </w:rPr>
            <w:t xml:space="preserve"> </w:t>
          </w:r>
        </w:p>
      </w:tc>
    </w:tr>
  </w:tbl>
  <w:p w:rsidR="008F548D" w:rsidRDefault="008F548D">
    <w:pPr>
      <w:pStyle w:val="normal0"/>
      <w:spacing w:line="240" w:lineRule="auto"/>
      <w:contextualSpacing w:val="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41D5"/>
    <w:multiLevelType w:val="multilevel"/>
    <w:tmpl w:val="AB683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88055D4"/>
    <w:multiLevelType w:val="multilevel"/>
    <w:tmpl w:val="EEF4A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38146C"/>
    <w:multiLevelType w:val="multilevel"/>
    <w:tmpl w:val="35628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48D"/>
    <w:rsid w:val="00085B5C"/>
    <w:rsid w:val="008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finder.com.au/mobile-plans" TargetMode="External"/><Relationship Id="rId21" Type="http://schemas.openxmlformats.org/officeDocument/2006/relationships/hyperlink" Target="http://finder.com.au/mobile-plans" TargetMode="External"/><Relationship Id="rId22" Type="http://schemas.openxmlformats.org/officeDocument/2006/relationships/hyperlink" Target="http://finder.com.au/mobile-plans" TargetMode="External"/><Relationship Id="rId23" Type="http://schemas.openxmlformats.org/officeDocument/2006/relationships/image" Target="media/image3.jpg"/><Relationship Id="rId24" Type="http://schemas.openxmlformats.org/officeDocument/2006/relationships/hyperlink" Target="mailto:Michelle@finder.com.au" TargetMode="External"/><Relationship Id="rId25" Type="http://schemas.openxmlformats.org/officeDocument/2006/relationships/image" Target="media/image4.jpg"/><Relationship Id="rId26" Type="http://schemas.openxmlformats.org/officeDocument/2006/relationships/hyperlink" Target="mailto:Bessie@finder.com.au" TargetMode="External"/><Relationship Id="rId27" Type="http://schemas.openxmlformats.org/officeDocument/2006/relationships/hyperlink" Target="mailto:Bessie@finder.com.au" TargetMode="External"/><Relationship Id="rId28" Type="http://schemas.openxmlformats.org/officeDocument/2006/relationships/image" Target="media/image5.png"/><Relationship Id="rId29" Type="http://schemas.openxmlformats.org/officeDocument/2006/relationships/hyperlink" Target="http://www.creditcardfinder.com.a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6.png"/><Relationship Id="rId31" Type="http://schemas.openxmlformats.org/officeDocument/2006/relationships/hyperlink" Target="http://www.finder.com.au/money" TargetMode="External"/><Relationship Id="rId32" Type="http://schemas.openxmlformats.org/officeDocument/2006/relationships/image" Target="media/image7.png"/><Relationship Id="rId9" Type="http://schemas.openxmlformats.org/officeDocument/2006/relationships/hyperlink" Target="http://finder.com.a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finder.com.au/insurance" TargetMode="External"/><Relationship Id="rId34" Type="http://schemas.openxmlformats.org/officeDocument/2006/relationships/image" Target="media/image8.png"/><Relationship Id="rId35" Type="http://schemas.openxmlformats.org/officeDocument/2006/relationships/hyperlink" Target="http://www.finder.com.au/energy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://finder.com.au/mobile-plans" TargetMode="External"/><Relationship Id="rId11" Type="http://schemas.openxmlformats.org/officeDocument/2006/relationships/hyperlink" Target="http://finder.com.au/mobile-plans" TargetMode="External"/><Relationship Id="rId12" Type="http://schemas.openxmlformats.org/officeDocument/2006/relationships/hyperlink" Target="http://finder.com.au/" TargetMode="External"/><Relationship Id="rId13" Type="http://schemas.openxmlformats.org/officeDocument/2006/relationships/hyperlink" Target="http://finder.com.au/" TargetMode="External"/><Relationship Id="rId14" Type="http://schemas.openxmlformats.org/officeDocument/2006/relationships/hyperlink" Target="http://finder.com.au/mobile-plans" TargetMode="External"/><Relationship Id="rId15" Type="http://schemas.openxmlformats.org/officeDocument/2006/relationships/hyperlink" Target="http://finder.com.au/mobile-plans" TargetMode="External"/><Relationship Id="rId16" Type="http://schemas.openxmlformats.org/officeDocument/2006/relationships/hyperlink" Target="http://finder.com.au/mobile-plans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finder.com.au/mobile-plans" TargetMode="External"/><Relationship Id="rId19" Type="http://schemas.openxmlformats.org/officeDocument/2006/relationships/hyperlink" Target="http://finder.com.au/mobile-plans" TargetMode="External"/><Relationship Id="rId37" Type="http://schemas.openxmlformats.org/officeDocument/2006/relationships/hyperlink" Target="http://www.finder.com.au/shopping" TargetMode="External"/><Relationship Id="rId38" Type="http://schemas.openxmlformats.org/officeDocument/2006/relationships/hyperlink" Target="http://www.finder.com.au/shopping" TargetMode="External"/><Relationship Id="rId39" Type="http://schemas.openxmlformats.org/officeDocument/2006/relationships/hyperlink" Target="http://www.finder.com.au/financial-services-guide" TargetMode="External"/><Relationship Id="rId40" Type="http://schemas.openxmlformats.org/officeDocument/2006/relationships/hyperlink" Target="http://www.finder.com.au/about-us" TargetMode="External"/><Relationship Id="rId41" Type="http://schemas.openxmlformats.org/officeDocument/2006/relationships/hyperlink" Target="http://www.finder.com.au/contact-us" TargetMode="External"/><Relationship Id="rId42" Type="http://schemas.openxmlformats.org/officeDocument/2006/relationships/hyperlink" Target="http://www.finder.com.au/media" TargetMode="External"/><Relationship Id="rId43" Type="http://schemas.openxmlformats.org/officeDocument/2006/relationships/hyperlink" Target="http://www.finder.com.au/media" TargetMode="External"/><Relationship Id="rId44" Type="http://schemas.openxmlformats.org/officeDocument/2006/relationships/header" Target="header1.xml"/><Relationship Id="rId4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4" Type="http://schemas.openxmlformats.org/officeDocument/2006/relationships/image" Target="media/image12.png"/><Relationship Id="rId5" Type="http://schemas.openxmlformats.org/officeDocument/2006/relationships/image" Target="media/image13.png"/><Relationship Id="rId6" Type="http://schemas.openxmlformats.org/officeDocument/2006/relationships/image" Target="media/image14.png"/><Relationship Id="rId7" Type="http://schemas.openxmlformats.org/officeDocument/2006/relationships/image" Target="media/image15.png"/><Relationship Id="rId8" Type="http://schemas.openxmlformats.org/officeDocument/2006/relationships/image" Target="media/image16.png"/><Relationship Id="rId1" Type="http://schemas.openxmlformats.org/officeDocument/2006/relationships/image" Target="media/image2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7880</Characters>
  <Application>Microsoft Macintosh Word</Application>
  <DocSecurity>0</DocSecurity>
  <Lines>65</Lines>
  <Paragraphs>18</Paragraphs>
  <ScaleCrop>false</ScaleCrop>
  <Company>Finder.com.au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Hutchison</cp:lastModifiedBy>
  <cp:revision>2</cp:revision>
  <dcterms:created xsi:type="dcterms:W3CDTF">2015-10-28T11:29:00Z</dcterms:created>
  <dcterms:modified xsi:type="dcterms:W3CDTF">2015-10-28T11:29:00Z</dcterms:modified>
</cp:coreProperties>
</file>